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BürgEnG (Nordrhein-Westfalen) — Zweck des Gesetzes</w:t>
      </w:r>
    </w:p>
    <w:p>
      <w:r>
        <w:rPr>
          <w:color w:val="555555"/>
          <w:sz w:val="18"/>
        </w:rPr>
        <w:t xml:space="preserve">Bürgerenergiegesetz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Zweck dieses Gesetzes ist es, durch die finanzielle Beteiligung von Einwohnerinnen und Einwohnern sowie Gemeinden an Bau und Betrieb von neuen Windenergieanlagen ein größtmögliches Maß an Akzeptanz und Teilhabe zu erreichen. Daher soll das Gesetz auch dazu beitragen, die regionale Wertschöpfung im Umfeld von Windenergieanlagen zu erhöhen, die Akteursvielfalt in der Energiewende zu steigern und die Erfolgschancen für Windenergieprojekte durch sinnvolle Kommunikations- und Beteiligungsprozesse unter Einbezug aller relevanten Anspruchsgruppen vor Ort zu verbessern. In Ermangelung einer bundeseinheitlichen Beteiligungsverpflichtung sieht dieses Gesetz als Regelfall eine Beteiligungsvereinbarung nach § 7 vor, die sich wertmäßig an der Ersatzbeteiligung nach § 8 ausrichten soll.</w:t>
      </w:r>
    </w:p>
    <w:p>
      <w:r>
        <w:rPr>
          <w:color w:val="555555"/>
          <w:sz w:val="17"/>
        </w:rPr>
        <w:t xml:space="preserve">Zitiervorschlag: § 1 BürgEnG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https://recht.nulegal.eu/gesetze/B%C3%BCrgEnG/1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