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BüchsenmAusbV 2010 — Durchführung der Berufsausbildung</w:t>
      </w:r>
    </w:p>
    <w:p>
      <w:r>
        <w:rPr>
          <w:color w:val="555555"/>
          <w:sz w:val="18"/>
        </w:rPr>
        <w:t xml:space="preserve">Büchsenmacher-Ausbildungsverordnung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selbständiges Planen, Durchführen und Kontrollieren einschließt. Diese Befähigung ist in Prüfungen nach den §§ 5 bis 7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BüchsenmAusbV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https://recht.nulegal.eu/gesetze/B%C3%BCchsenmAusbV%202010/4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BüchsenmAusbV 2010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