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BüchsMstrV — Weitere Anforderungen</w:t>
      </w:r>
    </w:p>
    <w:p>
      <w:r>
        <w:rPr>
          <w:color w:val="555555"/>
          <w:sz w:val="18"/>
        </w:rPr>
        <w:t xml:space="preserve">Büchsenmachermeisterverordnung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Meisterprüfungsverordnung.</w:t>
      </w:r>
    </w:p>
    <w:p>
      <w:r>
        <w:rPr>
          <w:color w:val="555555"/>
          <w:sz w:val="17"/>
        </w:rPr>
        <w:t xml:space="preserve">Zitiervorschlag: § 7 BüchsMstrV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https://recht.nulegal.eu/gesetze/B%C3%BCchsMstrV/7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