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BüchsMstrV — Prüfung der fachtheoretischen Kenntnisse (Teil II)</w:t>
      </w:r>
    </w:p>
    <w:p>
      <w:r>
        <w:rPr>
          <w:color w:val="555555"/>
          <w:sz w:val="18"/>
        </w:rPr>
        <w:t xml:space="preserve">Büchsenmachermeisterverordnung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II sind Kenntnisse in den folgenden fünf Prüfungsfächern nachzuweisen:</w:t>
      </w:r>
    </w:p>
    <w:p>
      <w:pPr>
        <w:ind w:left="420"/>
      </w:pPr>
      <w:r>
        <w:t xml:space="preserve">1. Technische Mathematik:Berechnungen aus der Mechanik und der Ballistik;</w:t>
      </w:r>
    </w:p>
    <w:p>
      <w:pPr>
        <w:ind w:left="420"/>
      </w:pPr>
      <w:r>
        <w:t xml:space="preserve">2. Technisches Zeichnen:</w:t>
      </w:r>
    </w:p>
    <w:p>
      <w:pPr>
        <w:ind w:left="780"/>
      </w:pPr>
      <w:r>
        <w:t xml:space="preserve">a) Anfertigen von Skizzen und Zeichnungen,</w:t>
      </w:r>
    </w:p>
    <w:p>
      <w:pPr>
        <w:ind w:left="780"/>
      </w:pPr>
      <w:r>
        <w:t xml:space="preserve">b) Lesen von Explosionszeichnungen;</w:t>
      </w:r>
    </w:p>
    <w:p>
      <w:pPr>
        <w:ind w:left="420"/>
      </w:pPr>
      <w:r>
        <w:t xml:space="preserve">3. Fachtechnologie:</w:t>
      </w:r>
    </w:p>
    <w:p>
      <w:pPr>
        <w:ind w:left="780"/>
      </w:pPr>
      <w:r>
        <w:t xml:space="preserve">a) Mechanik einschließlich Festigkeitslehre,</w:t>
      </w:r>
    </w:p>
    <w:p>
      <w:pPr>
        <w:ind w:left="780"/>
      </w:pPr>
      <w:r>
        <w:t xml:space="preserve">b) Maschinenelemente, insbesondere Passungen,</w:t>
      </w:r>
    </w:p>
    <w:p>
      <w:pPr>
        <w:ind w:left="780"/>
      </w:pPr>
      <w:r>
        <w:t xml:space="preserve">c) Optik,</w:t>
      </w:r>
    </w:p>
    <w:p>
      <w:pPr>
        <w:ind w:left="780"/>
      </w:pPr>
      <w:r>
        <w:t xml:space="preserve">d) Funktionsweise, Aufbau und Einsatz von Schußwaffen sowie von Wiederladegeräten und -komponenten,</w:t>
      </w:r>
    </w:p>
    <w:p>
      <w:pPr>
        <w:ind w:left="780"/>
      </w:pPr>
      <w:r>
        <w:t xml:space="preserve">e) Oberflächenbehandlung,</w:t>
      </w:r>
    </w:p>
    <w:p>
      <w:pPr>
        <w:ind w:left="780"/>
      </w:pPr>
      <w:r>
        <w:t xml:space="preserve">f) Innen-, Außen- und Zielballistik sowie Waffenkunde,</w:t>
      </w:r>
    </w:p>
    <w:p>
      <w:pPr>
        <w:ind w:left="780"/>
      </w:pPr>
      <w:r>
        <w:t xml:space="preserve">g) Jagd-, Waffen- und Sprengstoffrecht,</w:t>
      </w:r>
    </w:p>
    <w:p>
      <w:pPr>
        <w:ind w:left="780"/>
      </w:pPr>
      <w:r>
        <w:t xml:space="preserve">h) einschlägige Vorschriften der Unfallverhütung, des Arbeitsschutzes und der Arbeitssicherheit,</w:t>
      </w:r>
    </w:p>
    <w:p>
      <w:pPr>
        <w:ind w:left="780"/>
      </w:pPr>
      <w:r>
        <w:t xml:space="preserve">i) Vorschriften des Umweltschutzes, insbesondere des Immissionsschutzes,</w:t>
      </w:r>
    </w:p>
    <w:p>
      <w:pPr>
        <w:ind w:left="780"/>
      </w:pPr>
      <w:r>
        <w:t xml:space="preserve">k) spanende und spanlose Be- und Verarbeitung von Werkstoffen,</w:t>
      </w:r>
    </w:p>
    <w:p>
      <w:pPr>
        <w:ind w:left="780"/>
      </w:pPr>
      <w:r>
        <w:t xml:space="preserve">l) unlösbare und lösbare Verbindungen, hergestellt insbesondere durch Weich- und Hartlöten, Gasschweißen und Lichtbogenhandschweißen, Kleben, Nieten, Schrauben und Stiften;</w:t>
      </w:r>
    </w:p>
    <w:p>
      <w:pPr>
        <w:ind w:left="420"/>
      </w:pPr>
      <w:r>
        <w:t xml:space="preserve">4. Werkstoffkunde:</w:t>
      </w:r>
    </w:p>
    <w:p>
      <w:pPr>
        <w:ind w:left="780"/>
      </w:pPr>
      <w:r>
        <w:t xml:space="preserve">a) Arten, Eigenschaften, Bezeichnungen, Verwendung und Verarbeitung der Werk- und Hilfsstoffe,</w:t>
      </w:r>
    </w:p>
    <w:p>
      <w:pPr>
        <w:ind w:left="780"/>
      </w:pPr>
      <w:r>
        <w:t xml:space="preserve">b) Werkstoffprüfung,</w:t>
      </w:r>
    </w:p>
    <w:p>
      <w:pPr>
        <w:ind w:left="780"/>
      </w:pPr>
      <w:r>
        <w:t xml:space="preserve">c) Gefügebehandlung durch Glühen, Härten und Anlassen;</w:t>
      </w:r>
    </w:p>
    <w:p>
      <w:pPr>
        <w:ind w:left="420"/>
      </w:pPr>
      <w:r>
        <w:t xml:space="preserve">5. Kalkulation:Kostenermittlung mit allen für die Preisbildung wesentlichen Faktoren und Berechnungen für die Angebots- und die Nachkalkulation.</w:t>
      </w:r>
    </w:p>
    <w:p>
      <w:r>
        <w:t xml:space="preserve">(2) Die Prüfung ist schriftlich und mündlich durchzuführen.</w:t>
      </w:r>
    </w:p>
    <w:p>
      <w:r>
        <w:t xml:space="preserve">(3) Die schriftliche Prüfung soll nicht länger als zwölf Stunden, die mündliche je Prüfling nicht länger als eine halbe Stunde dauern.</w:t>
      </w:r>
    </w:p>
    <w:p>
      <w:r>
        <w:t xml:space="preserve">(4) Der Prüfling ist von der mündlichen Prüfung auf Antrag zu befreien, wenn er im Durchschnitt mindestens gute schriftliche Leistungen erbracht hat.</w:t>
      </w:r>
    </w:p>
    <w:p>
      <w:r>
        <w:t xml:space="preserve">(5) Mindestvoraussetzung für das Bestehen des Teils II sind jeweils ausreichende Leistungen in den Prüfungsfächern nach Absatz 1 Nr. 1, 3, 4 und 5.</w:t>
      </w:r>
    </w:p>
    <w:p>
      <w:r>
        <w:rPr>
          <w:color w:val="555555"/>
          <w:sz w:val="17"/>
        </w:rPr>
        <w:t xml:space="preserve">Zitiervorschlag: § 5 BüchsMstrV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https://recht.nulegal.eu/gesetze/B%C3%BCchsMstrV/5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