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BüPinAusbV</w:t>
      </w:r>
    </w:p>
    <w:p>
      <w:r>
        <w:rPr>
          <w:color w:val="555555"/>
          <w:sz w:val="18"/>
        </w:rPr>
        <w:t xml:space="preserve">Bürsten- und Pinselmacherausbildungsverordnung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zuletzt durch Artikel 436 Nummer 1 der Verordnung vom 31. August 2015 (BGBl. I S. 1474) geändert worden ist, und auf Grund des § 25 Absatz 1 Satz 1 der Handwerksordnung, der zuletzt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BüPinAusbV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https://recht.nulegal.eu/gesetze/B%C3%BCPinAusbV/eingangsformel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