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BöttchMstrV</w:t>
      </w:r>
    </w:p>
    <w:p>
      <w:r>
        <w:rPr>
          <w:color w:val="555555"/>
          <w:sz w:val="18"/>
        </w:rPr>
        <w:t xml:space="preserve">Böttchermeisterverordnung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Auf Grund des § 45 Absatz 1 der Handwerksordnung in der Fassung der Bekanntmachung vom 24. September 1998 (BGBl. I S. 3074; 2006 I S. 2095), der zuletzt durch Artikel 2 Nummer 1 des Gesetzes vom 9. November 2022 (BGBl. I S. 2009) geändert worden ist, verordnet das Bundesministerium für Wirtschaft und Klimaschutz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BöttchMstrV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https://recht.nulegal.eu/gesetze/B%C3%B6ttchMstrV/eingangsformel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