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BöttchAusbV 2010 — Dauer der Berufsausbildung</w:t>
      </w:r>
    </w:p>
    <w:p>
      <w:r>
        <w:rPr>
          <w:color w:val="555555"/>
          <w:sz w:val="18"/>
        </w:rPr>
        <w:t xml:space="preserve">Böttchergewerbe-Ausbildungsverordnung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BöttchAusbV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https://recht.nulegal.eu/gesetze/B%C3%B6ttchAusbV%202010/2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