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BörsZulV — Mindestbetrag der Wertpapiere</w:t>
      </w:r>
    </w:p>
    <w:p>
      <w:r>
        <w:rPr>
          <w:color w:val="555555"/>
          <w:sz w:val="18"/>
        </w:rPr>
        <w:t xml:space="preserve">Börsenzulassungs-Verordnung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voraussichtliche Kurswert der zuzulassenden Aktien oder, falls seine Schätzung nicht möglich ist, das Eigenkapital der Gesellschaft im Sinne des § 266 Abs. 3 Buchstabe A des Handelsgesetzbuchs, deren Aktien zugelassen werden sollen, muss mindestens 1 000 000 Euro betragen. Dies gilt nicht, wenn Aktien derselben Gattung an dieser Börse bereits zum regulierten Markt zugelassen sind.</w:t>
      </w:r>
    </w:p>
    <w:p>
      <w:r>
        <w:t xml:space="preserve">(2) Für die Zulassung von anderen Wertpapieren als Aktien muss der Gesamtnennbetrag mindestens 250 000 Euro betragen.</w:t>
      </w:r>
    </w:p>
    <w:p>
      <w:r>
        <w:t xml:space="preserve">(3) Für die Zulassung von Wertpapieren, die nicht auf einen Geldbetrag lauten, muss die Mindeststückzahl der Wertpapiere zehntausend betragen.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 BörsZulV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https://recht.nulegal.eu/gesetze/B%C3%B6rsZulV/2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