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BörsG 2007 — Bußgeldvorschriften</w:t>
      </w:r>
    </w:p>
    <w:p>
      <w:r>
        <w:rPr>
          <w:color w:val="555555"/>
          <w:sz w:val="18"/>
        </w:rPr>
        <w:t xml:space="preserve">Börsengesetz</w:t>
      </w:r>
    </w:p>
    <w:p>
      <w:r>
        <w:rPr>
          <w:color w:val="555555"/>
          <w:sz w:val="18"/>
        </w:rPr>
        <w:t xml:space="preserve">Stand: 14.03.2026 (konsolidierte Textfassung, kein amtliches Inkrafttretensdatum)</w:t>
      </w:r>
    </w:p>
    <w:p>
      <w:r>
        <w:t xml:space="preserve">(1) Ordnungswidrig handelt, wer vorsätzlich oder leichtfertig entgegen</w:t>
      </w:r>
    </w:p>
    <w:p>
      <w:pPr>
        <w:ind w:left="420"/>
      </w:pPr>
      <w:r>
        <w:t xml:space="preserve">1. § 3 Absatz 11 eine Person über eine Maßnahme oder ein eingeleitetes Ermittlungsverfahren in Kenntnis setzt oder</w:t>
      </w:r>
    </w:p>
    <w:p>
      <w:pPr>
        <w:ind w:left="420"/>
      </w:pPr>
      <w:r>
        <w:t xml:space="preserve">2. § 41 Absatz 1 der Geschäftsführung der Börse eine dort benannte Auskunft nicht, nicht richtig oder nicht vollständig erteilt.</w:t>
      </w:r>
    </w:p>
    <w:p>
      <w:r>
        <w:t xml:space="preserve">(2) Ordnungswidrig handelt, wer vorsätzlich oder fahrlässig</w:t>
      </w:r>
    </w:p>
    <w:p>
      <w:pPr>
        <w:ind w:left="420"/>
      </w:pPr>
      <w:r>
        <w:t xml:space="preserve">1. einer vollziehbaren Anordnung nach</w:t>
      </w:r>
    </w:p>
    <w:p>
      <w:pPr>
        <w:ind w:left="780"/>
      </w:pPr>
      <w:r>
        <w:t xml:space="preserve">a) § 3 Absatz 4 Satz 1 zweiter Halbsatz, Satz 2 oder 4, jeweils auch in Verbindung mit § 7 Absatz 3, oder § 3 Absatz 5 Satz 2 oder</w:t>
      </w:r>
    </w:p>
    <w:p>
      <w:pPr>
        <w:ind w:left="780"/>
      </w:pPr>
      <w:r>
        <w:t xml:space="preserve">b) § 6 Absatz 2 Satz 1 oder Absatz 4 Satz 1</w:t>
      </w:r>
    </w:p>
    <w:p>
      <w:pPr>
        <w:ind w:left="420"/>
      </w:pPr>
      <w:r>
        <w:t xml:space="preserve">zuwiderhandelt,</w:t>
      </w:r>
    </w:p>
    <w:p>
      <w:pPr>
        <w:ind w:left="420"/>
      </w:pPr>
      <w:r>
        <w:t xml:space="preserve">2. entgegen § 3 Absatz 4 Satz 5 oder 6, jeweils auch in Verbindung mit Satz 8, ein Betreten nicht gestattet oder nicht duldet,</w:t>
      </w:r>
    </w:p>
    <w:p>
      <w:pPr>
        <w:ind w:left="420"/>
      </w:pPr>
      <w:r>
        <w:t xml:space="preserve">3. als Börsenträger einer vollziehbaren Anordnung nach § 3 Absatz 4a Satz 1 zuwiderhandelt,</w:t>
      </w:r>
    </w:p>
    <w:p>
      <w:pPr>
        <w:ind w:left="420"/>
      </w:pPr>
      <w:r>
        <w:t xml:space="preserve">4. bei der Antragstellung nach § 4 Absatz 2 Satz 1 unrichtige Angaben zu den in § 4 Absatz 2 Satz 3 oder 4 genannten Tatsachen macht,</w:t>
      </w:r>
    </w:p>
    <w:p>
      <w:pPr>
        <w:ind w:left="420"/>
      </w:pPr>
      <w:r>
        <w:t xml:space="preserve">5. entgegen § 4 Absatz 7 Satz 1 einen Wechsel bei einer dort genannten Person der Geschäftsleitung nicht, nicht richtig, nicht vollständig oder nicht rechtzeitig anzeigt,</w:t>
      </w:r>
    </w:p>
    <w:p>
      <w:pPr>
        <w:ind w:left="420"/>
      </w:pPr>
      <w:r>
        <w:t xml:space="preserve">6. als Geschäftsleiter eines Börsenträgers von erheblicher Bedeutung die nach § 4a Absatz 2 Satz 2 in Verbindung mit den Sätzen 3 und 4 und einer etwaigen Genehmigung nach Satz 5 zulässige Anzahl von Mandaten durch Annahme eines weiteren Mandats überschreitet,</w:t>
      </w:r>
    </w:p>
    <w:p>
      <w:pPr>
        <w:ind w:left="420"/>
      </w:pPr>
      <w:r>
        <w:t xml:space="preserve">7. als Mitglied des Verwaltungs- oder Aufsichtsorgans eines Börsenträgers von erheblicher Bedeutung die nach § 4b Absatz 4 Satz 2 in Verbindung mit den Sätzen 3 und 4 und einer etwaigen Genehmigung nach Satz 5 zulässige Anzahl von Mandaten durch Annahme eines weiteren Mandats überschreitet,</w:t>
      </w:r>
    </w:p>
    <w:p>
      <w:pPr>
        <w:ind w:left="420"/>
      </w:pPr>
      <w:r>
        <w:t xml:space="preserve">8. entgegen § 4a Absatz 1 der Wahrnehmung der Aufgaben als Geschäftsleiter nicht die erforderliche Zeit widmet,</w:t>
      </w:r>
    </w:p>
    <w:p>
      <w:pPr>
        <w:ind w:left="420"/>
      </w:pPr>
      <w:r>
        <w:t xml:space="preserve">9. als Mitglied des Verwaltungs- oder Aufsichtsorgans eines Börsenträgers bei Vorliegen der Voraussetzungen des § 4b Absatz 5 Satz 1 nicht auf die Einsetzung eines Nominierungsausschusses hinwirkt,</w:t>
      </w:r>
    </w:p>
    <w:p>
      <w:pPr>
        <w:ind w:left="420"/>
      </w:pPr>
      <w:r>
        <w:t xml:space="preserve">10. entgegen § 5 Absatz 3 Satz 3 eine Anzeige nicht oder nicht rechtzeitig erstattet,</w:t>
      </w:r>
    </w:p>
    <w:p>
      <w:pPr>
        <w:ind w:left="420"/>
      </w:pPr>
      <w:r>
        <w:t xml:space="preserve">11. entgegen § 5 Absatz 4 Nummer 1 keine oder keine hinreichenden Vorkehrungen trifft, um dort genannte Konflikte zu erkennen und zu verhindern,</w:t>
      </w:r>
    </w:p>
    <w:p>
      <w:pPr>
        <w:ind w:left="420"/>
      </w:pPr>
      <w:r>
        <w:t xml:space="preserve">12. entgegen § 5 Absatz 4 Nummer 2 keine angemessenen Vorkehrungen und Systeme schafft,</w:t>
      </w:r>
    </w:p>
    <w:p>
      <w:pPr>
        <w:ind w:left="420"/>
      </w:pPr>
      <w:r>
        <w:t xml:space="preserve">13. entgegen § 5 Absatz 4 Nummer 3 nicht die technische Funktionsfähigkeit der betreffenden Systeme sicherstellt oder keine technischen Vorkehrungen für den reibungslosen und zeitnahen Abschluss der betreffenden Geschäfte schafft,</w:t>
      </w:r>
    </w:p>
    <w:p>
      <w:pPr>
        <w:ind w:left="420"/>
      </w:pPr>
      <w:r>
        <w:t xml:space="preserve">14. als Börsenträger eine Börse betreibt, ohne über die in § 5 Absatz 4a genannten Systeme und Verfahren zu verfügen,</w:t>
      </w:r>
    </w:p>
    <w:p>
      <w:pPr>
        <w:ind w:left="420"/>
      </w:pPr>
      <w:r>
        <w:t xml:space="preserve">15. als Börsenträger eine Börse betreibt, ohne über ausreichende finanzielle Mittel im Sinne des § 5 Absatz 5 zu verfügen,</w:t>
      </w:r>
    </w:p>
    <w:p>
      <w:pPr>
        <w:ind w:left="420"/>
      </w:pPr>
      <w:r>
        <w:t xml:space="preserve">16. als Börsenträger entgegen § 5 Absatz 7 an einer von ihm betriebenen Börse Kundenaufträge unter Einsatz seines eigenen Kapitals ausführt oder auf die Zusammenführung sich deckender Kundenaufträge zurückgreift,</w:t>
      </w:r>
    </w:p>
    <w:p>
      <w:pPr>
        <w:ind w:left="420"/>
      </w:pPr>
      <w:r>
        <w:t xml:space="preserve">17. entgegen</w:t>
      </w:r>
    </w:p>
    <w:p>
      <w:pPr>
        <w:ind w:left="780"/>
      </w:pPr>
      <w:r>
        <w:t xml:space="preserve">a) § 6 Absatz 1 Satz 1, 5 oder 6 oder</w:t>
      </w:r>
    </w:p>
    <w:p>
      <w:pPr>
        <w:ind w:left="780"/>
      </w:pPr>
      <w:r>
        <w:t xml:space="preserve">b) § 6 Absatz 5 Satz 1 oder 4 oder Absatz 6 Satz 1,</w:t>
      </w:r>
    </w:p>
    <w:p>
      <w:pPr>
        <w:ind w:left="420"/>
      </w:pPr>
      <w:r>
        <w:t xml:space="preserve">jeweils auch in Verbindung mit einer Rechtsverordnung nach § 6 Absatz 7, eine Anzeige nicht, nicht richtig, nicht vollständig oder nicht rechtzeitig erstattet,</w:t>
      </w:r>
    </w:p>
    <w:p>
      <w:pPr>
        <w:ind w:left="420"/>
      </w:pPr>
      <w:r>
        <w:t xml:space="preserve">18. einer vollziehbaren Anordnung der Börsenaufsichtsbehörde nach § 6 Absatz 1 Satz 7 zuwiderhandelt,</w:t>
      </w:r>
    </w:p>
    <w:p>
      <w:pPr>
        <w:ind w:left="420"/>
      </w:pPr>
      <w:r>
        <w:t xml:space="preserve">19. entgegen § 6 Absatz 6 Satz 2 eine Veröffentlichung nicht oder nicht rechtzeitig vornimmt,</w:t>
      </w:r>
    </w:p>
    <w:p>
      <w:pPr>
        <w:ind w:left="420"/>
      </w:pPr>
      <w:r>
        <w:t xml:space="preserve">20. entgegen § 26c Absatz 2 Satz 1 kein Market-Making-System einrichtet,</w:t>
      </w:r>
    </w:p>
    <w:p>
      <w:pPr>
        <w:ind w:left="420"/>
      </w:pPr>
      <w:r>
        <w:t xml:space="preserve">21. als Handelsteilnehmer bei der Teilnahme am Börsenhandel einen Algorithmus im Sinne von § 26d Absatz 2 einsetzt, ohne diesen zuvor auf etwaige marktstörende Auswirkungen getestet zu haben,</w:t>
      </w:r>
    </w:p>
    <w:p>
      <w:pPr>
        <w:ind w:left="420"/>
      </w:pPr>
      <w:r>
        <w:t xml:space="preserve">22. als Börsenträger entgegen § 26e Satz 1 die dort genannte Veröffentlichung nicht mindestens einmal jährlich vornimmt,</w:t>
      </w:r>
    </w:p>
    <w:p>
      <w:pPr>
        <w:ind w:left="420"/>
      </w:pPr>
      <w:r>
        <w:t xml:space="preserve">23. als Börsenträger entgegen § 26f Absatz 1 keine Positionsmanagementkontrollen einrichtet oder</w:t>
      </w:r>
    </w:p>
    <w:p>
      <w:pPr>
        <w:ind w:left="420"/>
      </w:pPr>
      <w:r>
        <w:t xml:space="preserve">24. als Handelsteilnehmer entgegen § 26g die von der Geschäftsführung verlangten Daten nicht übermittelt.</w:t>
      </w:r>
    </w:p>
    <w:p>
      <w:r>
        <w:t xml:space="preserve">(3) Ordnungswidrig handelt, wer gegen die Verordnung (EU) Nr. 648/2012 des Europäischen Parlaments und des Rates vom 4. Juli 2012 über OTC-Derivate, zentrale Gegenparteien und Transaktionsregister (ABl. L 201 vom 27.7.2012, S. 1; L 321 vom 30.11.2013, S. 6) verstößt, indem er vorsätzlich oder fahrlässig als Betreiber eines Freiverkehrs im Sinne des § 48 entgegen Artikel 8 Absatz 1 in Verbindung mit Absatz 4 Unterabsatz 1 Handelsdaten nicht, nicht richtig, nicht vollständig, nicht in der vorgeschriebenen Weise oder nicht rechtzeitig zur Verfügung stellt.</w:t>
      </w:r>
    </w:p>
    <w:p>
      <w:r>
        <w:t xml:space="preserve">(4) Ordnungswidrig handelt, wer als Börsenträger gegen die Verordnung (EU) 2015/2365 des Europäischen Parlaments und des Rates vom 25. November 2015 über die Transparenz von Wertpapierfinanzierungsgeschäften und der Weiterverwendung sowie zur Änderung der Verordnung (EU) Nr. 648/2012 (ABl. L 337 vom 23.12.2015, S. 1) verstößt, indem er vorsätzlich oder leichtfertig</w:t>
      </w:r>
    </w:p>
    <w:p>
      <w:pPr>
        <w:ind w:left="420"/>
      </w:pPr>
      <w:r>
        <w:t xml:space="preserve">1. entgegen Artikel 4 Absatz 1 eine Meldung nicht, nicht richtig, nicht vollständig, nicht in der vorgeschriebenen Weise oder nicht rechtzeitig vornimmt,</w:t>
      </w:r>
    </w:p>
    <w:p>
      <w:pPr>
        <w:ind w:left="420"/>
      </w:pPr>
      <w:r>
        <w:t xml:space="preserve">2. entgegen Artikel 4 Absatz 4 Aufzeichnungen nicht, nicht vollständig oder nicht mindestens für die vorgeschriebene Dauer aufbewahrt,</w:t>
      </w:r>
    </w:p>
    <w:p>
      <w:pPr>
        <w:ind w:left="420"/>
      </w:pPr>
      <w:r>
        <w:t xml:space="preserve">3. entgegen Artikel 15 Absatz 1 Finanzinstrumente weiterverwendet, ohne dass die dort genannten Voraussetzungen erfüllt sind oder</w:t>
      </w:r>
    </w:p>
    <w:p>
      <w:pPr>
        <w:ind w:left="420"/>
      </w:pPr>
      <w:r>
        <w:t xml:space="preserve">4. entgegen Artikel 15 Absatz 2 ein Recht auf Weiterverwendung ausübt, ohne dass die dort genannten Voraussetzungen erfüllt sind.</w:t>
      </w:r>
    </w:p>
    <w:p>
      <w:r>
        <w:t xml:space="preserve">(5) Ordnungswidrig handelt, wer gegen die Verordnung (EU) 600/2014 in der Fassung vom 23. Oktober 2024 verstößt indem er vorsätzlich oder leichtfertig als Marktbetreiber im Sinne des Artikels 4 Absatz 1 Nummer 18 der Richtlinie 2014/65/EU oder als Börsenträger, der ein multilaterales Handelssystem im Sinne des Artikels 4 Absatz 1 Nummer 22 der Richtlinie 2014/65/EU oder ein organisiertes Handelssystem im Sinne des Artikels 4 Absatz 1 Nummer 23 der Richtlinie 2014/65/EU betreibt,</w:t>
      </w:r>
    </w:p>
    <w:p>
      <w:pPr>
        <w:ind w:left="420"/>
      </w:pPr>
      <w:r>
        <w:t xml:space="preserve">1. entgegen</w:t>
      </w:r>
    </w:p>
    <w:p>
      <w:pPr>
        <w:ind w:left="780"/>
      </w:pPr>
      <w:r>
        <w:t xml:space="preserve">a) Artikel 3 Absatz 1,</w:t>
      </w:r>
    </w:p>
    <w:p>
      <w:pPr>
        <w:ind w:left="780"/>
      </w:pPr>
      <w:r>
        <w:t xml:space="preserve">b) Artikel 6 Absatz 1,</w:t>
      </w:r>
    </w:p>
    <w:p>
      <w:pPr>
        <w:ind w:left="780"/>
      </w:pPr>
      <w:r>
        <w:t xml:space="preserve">c) Artikel 8 Absatz 1,</w:t>
      </w:r>
    </w:p>
    <w:p>
      <w:pPr>
        <w:ind w:left="780"/>
      </w:pPr>
      <w:r>
        <w:t xml:space="preserve">d) Artikel 8a Absatz 1 oder Absatz 2,</w:t>
      </w:r>
    </w:p>
    <w:p>
      <w:pPr>
        <w:ind w:left="780"/>
      </w:pPr>
      <w:r>
        <w:t xml:space="preserve">e) Artikel 8b Absatz 1,</w:t>
      </w:r>
    </w:p>
    <w:p>
      <w:pPr>
        <w:ind w:left="780"/>
      </w:pPr>
      <w:r>
        <w:t xml:space="preserve">f) Artikel 10 Absatz 1,</w:t>
      </w:r>
    </w:p>
    <w:p>
      <w:pPr>
        <w:ind w:left="780"/>
      </w:pPr>
      <w:r>
        <w:t xml:space="preserve">g) Artikel 11 Absatz 1a Unterabsatz 2, Absatz 1b Unterabsatz 2 oder Absatz 3 Unterabsatz 4 oder</w:t>
      </w:r>
    </w:p>
    <w:p>
      <w:pPr>
        <w:ind w:left="780"/>
      </w:pPr>
      <w:r>
        <w:t xml:space="preserve">h) Artikel 11a Absatz 1 Unterabsatz 4</w:t>
      </w:r>
    </w:p>
    <w:p>
      <w:pPr>
        <w:ind w:left="420"/>
      </w:pPr>
      <w:r>
        <w:t xml:space="preserve">eine Veröffentlichung nicht, nicht richtig, nicht vollständig, nicht in der vorgeschriebenen Weise oder nicht rechtzeitig vornimmt,</w:t>
      </w:r>
    </w:p>
    <w:p>
      <w:pPr>
        <w:ind w:left="420"/>
      </w:pPr>
      <w:r>
        <w:t xml:space="preserve">2. beim Betrieb eines Handelsplatzes ein dort genanntes System betreibt, das nicht oder nicht vollständig den in Artikel 4 Absatz 3 Unterabsatz 1 beschriebenen Anforderungen entspricht,</w:t>
      </w:r>
    </w:p>
    <w:p>
      <w:pPr>
        <w:ind w:left="420"/>
      </w:pPr>
      <w:r>
        <w:t xml:space="preserve">3. entgegen</w:t>
      </w:r>
    </w:p>
    <w:p>
      <w:pPr>
        <w:ind w:left="780"/>
      </w:pPr>
      <w:r>
        <w:t xml:space="preserve">a) Artikel 3 Absatz 3 oder Artikel 6 Absatz 2 nicht in der dort beschriebenen Weise Zugang zu den betreffenden Systemen gewährt,</w:t>
      </w:r>
    </w:p>
    <w:p>
      <w:pPr>
        <w:ind w:left="780"/>
      </w:pPr>
      <w:r>
        <w:t xml:space="preserve">b) Artikel 5 Absatz 1 Satz 1 in Verbindung mit Satz 2 eine dort genannte Ausnahme nicht oder nicht rechtzeitig aussetzt,</w:t>
      </w:r>
    </w:p>
    <w:p>
      <w:pPr>
        <w:ind w:left="780"/>
      </w:pPr>
      <w:r>
        <w:t xml:space="preserve">c) Artikel 5 Absatz 7 ein dort genanntes System oder ein dort genanntes Verfahren nicht oder nicht unverzüglich nach Betriebsaufnahme einrichtet,</w:t>
      </w:r>
    </w:p>
    <w:p>
      <w:pPr>
        <w:ind w:left="780"/>
      </w:pPr>
      <w:r>
        <w:t xml:space="preserve">d) Artikel 7 Absatz 1 Unterabsatz 3 Satz 1 eine Genehmigung nicht oder nicht rechtzeitig einholt,</w:t>
      </w:r>
    </w:p>
    <w:p>
      <w:pPr>
        <w:ind w:left="780"/>
      </w:pPr>
      <w:r>
        <w:t xml:space="preserve">e) Artikel 8 Absatz 3 oder Artikel 10 Absatz 2 nicht in der dort beschriebenen Weise Zugang zu den betreffenden Regelungen gewährt,</w:t>
      </w:r>
    </w:p>
    <w:p>
      <w:pPr>
        <w:ind w:left="780"/>
      </w:pPr>
      <w:r>
        <w:t xml:space="preserve">f) Artikel 11 Absatz 1 Unterabsatz 2 Satz 1 einen Hinweis nicht, nicht richtig, nicht vollständig oder nicht unverzüglich nach Feststehen einer dort genannten Regelung gibt,</w:t>
      </w:r>
    </w:p>
    <w:p>
      <w:pPr>
        <w:ind w:left="780"/>
      </w:pPr>
      <w:r>
        <w:t xml:space="preserve">g) Artikel 12 Absatz 1 eine Information nicht, nicht richtig, nicht vollständig, nicht in der vorgeschriebenen Weise oder nicht rechtzeitig offenlegt,</w:t>
      </w:r>
    </w:p>
    <w:p>
      <w:pPr>
        <w:ind w:left="780"/>
      </w:pPr>
      <w:r>
        <w:t xml:space="preserve">h) Artikel 13 Absatz 1 Unterabsatz 2 Satz 1 einen dort genannten Zugang nicht sicherstellt,</w:t>
      </w:r>
    </w:p>
    <w:p>
      <w:pPr>
        <w:ind w:left="780"/>
      </w:pPr>
      <w:r>
        <w:t xml:space="preserve">i) Artikel 13 Absatz 1 Unterabsatz 2 Satz 2 die Datenpolitik nicht oder nicht in der vorgeschriebenen Weise zur Verfügung stellt,</w:t>
      </w:r>
    </w:p>
    <w:p>
      <w:pPr>
        <w:ind w:left="780"/>
      </w:pPr>
      <w:r>
        <w:t xml:space="preserve">j) Artikel 13 Absatz 2 eine dort genannte Information nicht oder nicht rechtzeitig zur Verfügung stellt,</w:t>
      </w:r>
    </w:p>
    <w:p>
      <w:pPr>
        <w:ind w:left="780"/>
      </w:pPr>
      <w:r>
        <w:t xml:space="preserve">k) Artikel 22 Absatz 2 erforderliche Daten nicht für einen ausreichend langen Zeitraum speichert,</w:t>
      </w:r>
    </w:p>
    <w:p>
      <w:pPr>
        <w:ind w:left="780"/>
      </w:pPr>
      <w:r>
        <w:t xml:space="preserve">l) Artikel 22a Absatz 1 Satz 1 Daten nicht, nicht richtig, nicht vollständig, nicht in der vorgeschriebenen Weise oder nicht rechtzeitig übermittelt,</w:t>
      </w:r>
    </w:p>
    <w:p>
      <w:pPr>
        <w:ind w:left="780"/>
      </w:pPr>
      <w:r>
        <w:t xml:space="preserve">m) Artikel 25 Absatz 2 Satz 1 in Verbindung mit Satz 3 dort genannte Daten nicht oder nicht mindestens fünf Jahre zur Verfügung hält,</w:t>
      </w:r>
    </w:p>
    <w:p>
      <w:pPr>
        <w:ind w:left="780"/>
      </w:pPr>
      <w:r>
        <w:t xml:space="preserve">n) Artikel 29 Absatz 1 nicht sicherstellt, dass Geschäfte von einer zentralen Gegenpartei gecleart werden,</w:t>
      </w:r>
    </w:p>
    <w:p>
      <w:pPr>
        <w:ind w:left="780"/>
      </w:pPr>
      <w:r>
        <w:t xml:space="preserve">o) Artikel 29 Absatz 2 Unterabsatz 1 nicht über die dort bezeichneten Systeme, Verfahren und Vorkehrungen verfügt,</w:t>
      </w:r>
    </w:p>
    <w:p>
      <w:pPr>
        <w:ind w:left="780"/>
      </w:pPr>
      <w:r>
        <w:t xml:space="preserve">p) Artikel 31 Absatz 3 Satz 1 eine Aufzeichnung nicht, nicht richtig, nicht vollständig oder nicht in der vorgeschriebenen Weise führt,</w:t>
      </w:r>
    </w:p>
    <w:p>
      <w:pPr>
        <w:ind w:left="780"/>
      </w:pPr>
      <w:r>
        <w:t xml:space="preserve">q) Artikel 31 Absatz 3 Satz 2 eine Aufzeichnung nicht, nicht vollständig oder nicht rechtzeitig zur Verfügung stellt,</w:t>
      </w:r>
    </w:p>
    <w:p>
      <w:pPr>
        <w:ind w:left="780"/>
      </w:pPr>
      <w:r>
        <w:t xml:space="preserve">r) Artikel 35 Absatz 2 einen Antrag nicht, nicht vollständig oder nicht in der vorgeschriebenen Weise an eine zuständige Behörde übermittelt,</w:t>
      </w:r>
    </w:p>
    <w:p>
      <w:pPr>
        <w:ind w:left="780"/>
      </w:pPr>
      <w:r>
        <w:t xml:space="preserve">s) Artikel 36 Absatz 1 Handelsdaten nicht auf diskriminierungsfreier und transparenter Basis bereitstellt,</w:t>
      </w:r>
    </w:p>
    <w:p>
      <w:pPr>
        <w:ind w:left="780"/>
      </w:pPr>
      <w:r>
        <w:t xml:space="preserve">t) Artikel 36 Absatz 3 Satz 1 nicht, nicht in der vorgeschriebenen Weise oder nicht rechtzeitig antwortet,</w:t>
      </w:r>
    </w:p>
    <w:p>
      <w:pPr>
        <w:ind w:left="780"/>
      </w:pPr>
      <w:r>
        <w:t xml:space="preserve">u) Artikel 36 Absatz 3 Satz 2 einen Zugang verweigert,</w:t>
      </w:r>
    </w:p>
    <w:p>
      <w:pPr>
        <w:ind w:left="780"/>
      </w:pPr>
      <w:r>
        <w:t xml:space="preserve">v) Artikel 36 Absatz 3 Satz 3, auch in Verbindung mit Satz 4, eine Untersagung nicht ausführlich begründet oder eine Unterrichtung oder Mitteilung nicht oder nicht in der vorgeschriebenen Weise vornimmt oder</w:t>
      </w:r>
    </w:p>
    <w:p>
      <w:pPr>
        <w:ind w:left="780"/>
      </w:pPr>
      <w:r>
        <w:t xml:space="preserve">w) Artikel 36 Absatz 3 Satz 5 einen Zugang nicht oder nicht rechtzeitig ermöglicht.</w:t>
      </w:r>
    </w:p>
    <w:p>
      <w:r>
        <w:t xml:space="preserve">(6) Ordnungswidrig handelt, wer gegen die Verordnung (EU) Nr. 600/2014 in der Fassung vom 23. Oktober 2024 verstößt, indem er vorsätzlich oder fahrlässig</w:t>
      </w:r>
    </w:p>
    <w:p>
      <w:pPr>
        <w:ind w:left="420"/>
      </w:pPr>
      <w:r>
        <w:t xml:space="preserve">1. als Marktbetreiber im Sinne des Artikels 4 Absatz 1 Nummer 18 der Richtlinie 2014/65/EU,</w:t>
      </w:r>
    </w:p>
    <w:p>
      <w:pPr>
        <w:ind w:left="420"/>
      </w:pPr>
      <w:r>
        <w:t xml:space="preserve">2. als Börsenträger, der ein multilaterales Handelssystem im Sinne des Artikels 4 Absatz 1 Nummer 22 der Richtlinie 2014/65/EU oder ein organisiertes Handelssystem im Sinne des Artikels 4 Absatz 1 Nummer 23 der Richtlinie 2014/65/EU betreibt oder</w:t>
      </w:r>
    </w:p>
    <w:p>
      <w:pPr>
        <w:ind w:left="420"/>
      </w:pPr>
      <w:r>
        <w:t xml:space="preserve">3. als ein mit einem Marktbetreiber nach Nummer 1 oder mit einem Börsenträger nach Nummer 2 verbundenes Unternehmen</w:t>
      </w:r>
    </w:p>
    <w:p>
      <w:r>
        <w:t xml:space="preserve">entgegen Artikel 37 Absatz 3 mit dem Erbringer eines Referenzwerts eine Vereinbarung trifft, die eine andere zentrale Gegenpartei oder einen anderen Handelsplatz am Zugang zu den in Artikel 37 Absatz 1 genannten Informationen, Rechten oder Lizenzen hindern würde.</w:t>
      </w:r>
    </w:p>
    <w:p>
      <w:r>
        <w:t xml:space="preserve">(7) Ordnungswidrig handelt, wer gegen die Verordnung (EU) Nr. 909/2014 des Europäischen Parlaments und des Rates vom 23. Juli 2014 zur Verbesserung der Wertpapierlieferungen und -abrechnungen in der Europäischen Union und über Zentralverwahrer sowie zur Änderung der Richtlinien 98/26/EG und 2014/65/EU und der Verordnung (EU) Nr. 236/2012 (ABl. L 257 vom 28.8.2014, S. 1; L 349 vom 21.12.2016, S. 5), die durch die Verordnung (EU) 2016/1033 (ABl. L 175 vom 30.6.2016, S. 1) geändert worden ist, verstößt, indem er vorsätzlich oder fahrlässig als Börsenträger oder als Betreiber eines Freiverkehrs im Sinne des § 48 einem Zentralverwahrer entgegen Artikel 53 Absatz 1 Unterabsatz 1 Transaktionsdaten nicht, nicht richtig, nicht vollständig, nicht in der vorgeschriebenen Weise oder nicht rechtzeitig zur Verfügung stellt.</w:t>
      </w:r>
    </w:p>
    <w:p>
      <w:r>
        <w:t xml:space="preserve">(7a) Zuwiderhandlungen gegen die Verordnung (EU) 2022/2554 des Europäischen Parlaments und des Rates vom 14. Dezember 2022 über die digitale operationale Resilienz im Finanzsektor und zur Änderung der Verordnungen (EG) Nr. 1060/2009, (EU) Nr. 648/2012, (EU) Nr. 600/2014, (EU) Nr. 909/2014 und (EU) 2016/1011 (ABl. L 333 vom 27.12.2022, S. 1) durch Personen im Anwendungsbereich dieses Gesetzes können nach § 56 Absatz 5e und 6 Nummer 1 und 2 des Kreditwesengesetzes geahndet werden.</w:t>
      </w:r>
    </w:p>
    <w:p>
      <w:r>
        <w:t xml:space="preserve">(8) Die Ordnungswidrigkeit kann in den Fällen des Absatzes 1 Nummer 2 und des Absatzes 3 mit einer Geldbuße bis hunderttausend Euro, in den übrigen Fällen mit einer Geldbuße bis fünfzigtausend Euro geahndet werden.</w:t>
      </w:r>
    </w:p>
    <w:p>
      <w:r>
        <w:t xml:space="preserve">(9) Die Ordnungswidrigkeit kann in den Fällen der Absätze 2 und 5 bis 7 mit einer Geldbuße von bis zu fünf Millionen Euro geahndet werden. Gegenüber einer juristischen Person oder Personenvereinigung kann über Satz 1 hinaus eine höhere Geldbuße in Höhe von bis zu 10 Prozent des Gesamtumsatzes, den die juristische Person oder Personenvereinigung im der Behördenentscheidung vorangegangenen Geschäftsjahr erzielt hat, verhängt werden. Über die in den Sätzen 1 und 2 genannten Beträge hinaus kann die Ordnungswidrigkeit mit einer Geldbuße bis zum Zweifachen des aus dem Verstoß gezogenen wirtschaftlichen Vorteils geahndet werden. Der wirtschaftliche Vorteil umfasst erzielte Gewinne und vermiedene Verluste und kann geschätzt werden.</w:t>
      </w:r>
    </w:p>
    <w:p>
      <w:r>
        <w:t xml:space="preserve">(10) Die Ordnungswidrigkeit kann in den Fällen des Absatzes 4 mit einer Geldbuße bis zu fünf Millionen Euro geahndet werden. Gegenüber einer juristischen Person oder Personenvereinigung kann über Satz 1 hinaus eine höhere Geldbuße verhängt werden; diese darf</w:t>
      </w:r>
    </w:p>
    <w:p>
      <w:pPr>
        <w:ind w:left="420"/>
      </w:pPr>
      <w:r>
        <w:t xml:space="preserve">1. in den Fällen des Absatzes 4 Satz 1 Nummer 1 und 2 den höheren der Beträge von fünf Millionen Euro und 10 Prozent des Gesamtumsatzes, den die juristische Person oder Personenvereinigung im der Behördenentscheidung vorangegangenen Geschäftsjahr erzielt hat,</w:t>
      </w:r>
    </w:p>
    <w:p>
      <w:pPr>
        <w:ind w:left="420"/>
      </w:pPr>
      <w:r>
        <w:t xml:space="preserve">2. in den Fällen des Absatzes 4 Satz 1 Nummer 3 und 4 den höheren der Beträge von fünfzehn Millionen Euro und 10 Prozent des Gesamtumsatzes, den die juristische Person oder Personenvereinigung im der Behördenentscheidung vorangegangenen Geschäftsjahr erzielt hat,</w:t>
      </w:r>
    </w:p>
    <w:p>
      <w:r>
        <w:t xml:space="preserve">nicht überschreiten. Über die in den Sätzen 1 und 2 genannten Beträge hinaus kann die Ordnungswidrigkeit mit einer Geldbuße bis zum Dreifachen des aus dem Verstoß gezogenen wirtschaftlichen Vorteils geahndet werden. Der wirtschaftliche Vorteil umfasst erzielte Gewinne und vermiedene Verluste und kann geschätzt werden.</w:t>
      </w:r>
    </w:p>
    <w:p>
      <w:r>
        <w:t xml:space="preserve">(11) Gesamtumsatz im Sinne des Absatzes 9 Satz 2 und des Absatzes 10 Satz 2 ist</w:t>
      </w:r>
    </w:p>
    <w:p>
      <w:pPr>
        <w:ind w:left="420"/>
      </w:pPr>
      <w:r>
        <w:t xml:space="preserve">1. im Falle des Börsenträgers der Betrag der Nettoumsätze nach Maßgabe des auf den Börsenträger anwendbaren nationalen Rechts im Einklang mit Artikel 2 Nummer 5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 L 369 vom 24.12.2014, S. 79), die zuletzt durch die Richtlinie 2014/102/EU (ABl. L 334 vom 21.11.2014, S. 86) geändert worden ist,</w:t>
      </w:r>
    </w:p>
    <w:p>
      <w:pPr>
        <w:ind w:left="420"/>
      </w:pPr>
      <w:r>
        <w:t xml:space="preserve">2. im Falle von Kreditinstituten, Zahlungsinstituten, Wertpapierinstituten und Finanzdienstleistungsinstituten der Gesamtbetrag, der sich aus dem auf das Institut anwendbaren nationalen Recht im Einklang mit Artikel 27 Nummer 1, 3, 4, 6 und 7 oder Artikel 28 Nummer B1, B2, B3, B4 und B7 der Richtlinie 86/635/EWG des Rates vom 8. Dezember 1986 über den Jahresabschluss und den konsolidierten Abschluss von Banken und anderen Finanzinstituten (ABl. L 372 vom 31.12.1986, S. 1; L 316 vom 23.11.1988, S. 51), die zuletzt durch die Richtlinie 2006/46/EG (ABl. L 224 vom 16.8.2006, S. 1) geändert worden ist, ergibt, abzüglich der Umsatzsteuer und sonstiger direkt auf diese Erträge erhobener Steuern,</w:t>
      </w:r>
    </w:p>
    <w:p>
      <w:pPr>
        <w:ind w:left="420"/>
      </w:pPr>
      <w:r>
        <w:t xml:space="preserve">3. im Falle von Versicherungsunternehmen der Gesamtbetrag, der sich aus dem auf das Versicherungsunternehmen anwendbaren nationalen Recht im Einklang mit Artikel 63 der Richtlinie 91/674/EWG des Rates vom 19. Dezember 1991 über den Jahresabschluss und den konsolidierten Abschluss von Versicherungsunternehmen (ABl. L 374 vom 31.12.1991, S. 7), die zuletzt durch die Richtlinie 2006/46/EG (ABl. L 224 vom 16.8.2006, S. 1) geändert worden ist, ergibt, abzüglich der Umsatzsteuer und sonstiger direkt auf diese Erträge erhobener Steuern,</w:t>
      </w:r>
    </w:p>
    <w:p>
      <w:pPr>
        <w:ind w:left="420"/>
      </w:pPr>
      <w:r>
        <w:t xml:space="preserve">4. im Übrigen der Betrag der Nettoumsätze nach Maßgabe des auf das Unternehmen anwendbaren nationalen Rechts im Einklang mit Artikel 2 Nummer 5 der Richtlinie 2013/34/EU.</w:t>
      </w:r>
    </w:p>
    <w:p>
      <w:r>
        <w:t xml:space="preserve">Handelt es sich bei den in Satz 1 genannten Personen um juristische Personen oder Personenvereinigungen, die zugleich Mutterunternehmen oder Tochtergesellschaften sind, so ist anstelle des Gesamtumsatzes der juristischen Person oder Personenvereinigung der jeweilige Gesamtbetrag in dem Konzernabschluss des Mutterunternehmens maßgeblich, der für den größten Kreis von Unternehmen aufgestellt wird. Wird der Konzernabschluss für den größten Kreis von Unternehmen nicht nach den in Satz 1 genannten Vorschriften aufgestellt, ist der Gesamtumsatz nach Maßgabe der dem in Satz 1 vergleichbaren Posten des Konzernabschlusses zu ermitteln. Ist ein Jahresabschluss oder Konzernabschluss für das maßgebliche Geschäftsjahr nicht verfügbar, ist der Jahres- oder Konzernabschluss für das unmittelbar vorangehende Geschäftsjahr maßgeblich; ist auch dieser nicht verfügbar, kann der Gesamtumsatz geschätzt werden.</w:t>
      </w:r>
    </w:p>
    <w:p>
      <w:r>
        <w:t xml:space="preserve">(12) § 17 Absatz 2 des Gesetzes über Ordnungswidrigkeiten ist nicht anzuwenden bei Verstößen gegen Gebote und Verbote, die in den Absätzen 9 und 10 in Bezug genommen werden. § 30 des Gesetzes über Ordnungswidrigkeiten gilt auch für juristische Personen oder Personenvereinigungen, die über eine Zweigniederlassung oder im Wege des grenzüberschreitenden Dienstleistungsverkehrs im Inland tätig sind. Die Verfolgung der Ordnungswidrigkeiten nach den Absätzen 9 und 10 verjährt in drei Jahren.</w:t>
      </w:r>
    </w:p>
    <w:p>
      <w:r>
        <w:rPr>
          <w:color w:val="555555"/>
          <w:sz w:val="17"/>
        </w:rPr>
        <w:t xml:space="preserve">Zitiervorschlag: § 50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https://recht.nulegal.eu/gesetze/B%C3%B6rsG%202007/50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