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BörsG 2007 — Verwaltungs- oder Aufsichtsorgan des Börsenträgers</w:t>
      </w:r>
    </w:p>
    <w:p>
      <w:r>
        <w:rPr>
          <w:color w:val="555555"/>
          <w:sz w:val="18"/>
        </w:rPr>
        <w:t xml:space="preserve">Börsengesetz</w:t>
      </w:r>
    </w:p>
    <w:p>
      <w:r>
        <w:rPr>
          <w:color w:val="555555"/>
          <w:sz w:val="18"/>
        </w:rPr>
        <w:t xml:space="preserve">Stand: 10.06.2019 (konsolidierte Textfassung, kein amtliches Inkrafttretensdatum)</w:t>
      </w:r>
    </w:p>
    <w:p>
      <w:r>
        <w:t xml:space="preserve">(1) Die Mitglieder des Verwaltungs- oder Aufsichtsorgans des Börsenträgers müssen zuverlässig sein, die erforderliche Sachkunde zur Wahrnehmung der Kontrollfunktion sowie zur Beurteilung und Überwachung der Geschäfte, die das jeweilige Unternehmen betreibt, besitzen und der Wahrnehmung ihrer Aufgaben ausreichend Zeit widmen. Bei der Prüfung, ob eine der in Satz 1 genannten Personen die erforderliche Sachkunde besitzt, sind die Art, der Umfang und die Komplexität des Börsenträgers zu berücksichtigen.</w:t>
      </w:r>
    </w:p>
    <w:p>
      <w:r>
        <w:t xml:space="preserve">(2) Das Verwaltungs- oder Aufsichtsorgan muss in seiner Gesamtheit die Kenntnisse, Fähigkeiten und Erfahrungen haben, die zur Wahrnehmung der Kontrollfunktion sowie zur Beurteilung und Überwachung der Geschäftsleitung notwendig sind. Jedes Mitglied hat aufrichtig und unvoreingenommen zu handeln, um die Entscheidungen der Geschäftsleitung beurteilen und erforderlichenfalls in Frage stellen zu können und die Entscheidungsfindung wirksam überwachen zu können. Die Vorschriften der Mitbestimmungsgesetze über die Wahl und die Abberufung der Arbeitnehmervertreter im Verwaltungs- oder Aufsichtsorgan bleiben unberührt.</w:t>
      </w:r>
    </w:p>
    <w:p>
      <w:r>
        <w:t xml:space="preserve">(3) Das Verwaltungs- oder Aufsichtsorgan hat insbesondere die Aufgabe, zu überwachen, ob Unternehmensführungsregelungen bestehen und eingehalten werden, die eine wirksame und umsichtige Führung sicherstellen und insbesondere eine Aufgabentrennung in der Organisation und die Vorbeugung von Interessenkonflikten vorsehen. Dies hat auf eine Weise zu erfolgen, durch die die Integrität des Markts gefördert wird. Das Verwaltungs- oder Aufsichtsorgan hat gegebenenfalls angemessene Schritte zur Behebung etwaiger Mängel einzuleiten.</w:t>
      </w:r>
    </w:p>
    <w:p>
      <w:r>
        <w:t xml:space="preserve">(4) Bei der Zahl der Leitungs- oder Aufsichtsmandate, die ein Mitglied des Verwaltungs- oder Aufsichtsorgans gleichzeitig innehaben kann, sind der Einzelfall und die Art, der Umfang und die Komplexität der Geschäfte des Börsenträgers zu berücksichtigen. Mitglied des Verwaltungs- oder Aufsichtsorgans eines Börsenträgers, der auf Grund seiner Größe, seiner internen Organisation und der Art, des Umfangs und der Komplexität seiner Geschäfte von erheblicher Bedeutung ist, kann nicht sein,</w:t>
      </w:r>
    </w:p>
    <w:p>
      <w:pPr>
        <w:ind w:left="420"/>
      </w:pPr>
      <w:r>
        <w:t xml:space="preserve">1. wer in einem anderen Unternehmen Geschäftsleiter ist und zugleich in mehr als zwei Unternehmen Mitglied des Verwaltungs- oder Aufsichtsorgans ist oder</w:t>
      </w:r>
    </w:p>
    <w:p>
      <w:pPr>
        <w:ind w:left="420"/>
      </w:pPr>
      <w:r>
        <w:t xml:space="preserve">2. wer in mehr als vier Unternehmen Mitglied des Verwaltungs- oder Aufsichtsorgans ist.</w:t>
      </w:r>
    </w:p>
    <w:p>
      <w:r>
        <w:t xml:space="preserve">Dabei gelten mehrere Mandate als ein Mandat, wenn die Mandate bei Unternehmen wahrgenommen werden,</w:t>
      </w:r>
    </w:p>
    <w:p>
      <w:pPr>
        <w:ind w:left="420"/>
      </w:pPr>
      <w:r>
        <w:t xml:space="preserve">1. die derselben Gruppe im Sinne des Artikels 2 Nummer 11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angehören oder</w:t>
      </w:r>
    </w:p>
    <w:p>
      <w:pPr>
        <w:ind w:left="420"/>
      </w:pPr>
      <w:r>
        <w:t xml:space="preserve">2. an denen der Börsenträger eine bedeutende Beteiligung im Sinne des § 1 Absatz 9 des Kreditwesengesetzes hält.</w:t>
      </w:r>
    </w:p>
    <w:p>
      <w:r>
        <w:t xml:space="preserve">Mandate als Geschäftsleiter einer Börse oder als Mitglied eines Börsenrates und Mandate bei Organisationen und Unternehmen, die nicht überwiegend gewerbliche Ziele verfolgen, insbesondere Unternehmen, die der kommunalen Daseinsvorsorge dienen, werden bei den höchstens zulässigen Mandaten nicht berücksichtigt. Die Börsenaufsichtsbehörde kann einem Mitglied des Verwaltungs- oder Aufsichtsorgans des Börsenträgers unter Berücksichtigung der Umstände im Einzelfall gestatten, ein zusätzliches Mandat in einem Verwaltungs- oder Aufsichtsorgan innezuhaben, wenn dies das Mitglied nicht daran hindert, der Wahrnehmung seiner Aufgaben bei dem Börsenträger ausreichend Zeit zu widmen.</w:t>
      </w:r>
    </w:p>
    <w:p>
      <w:r>
        <w:t xml:space="preserve">(5) Das Verwaltungs- oder Aufsichtsorgan eines Börsenträgers, der auf Grund seiner Größe, seiner internen Organisation und der Art, des Umfangs und der Komplexität seiner Geschäfte von erheblicher Bedeutung ist, hat aus seiner Mitte einen Nominierungsausschuss zu bestellen. Der Nominierungsausschuss unterstützt das Verwaltungs- oder Aufsichtsorgan bei der</w:t>
      </w:r>
    </w:p>
    <w:p>
      <w:pPr>
        <w:ind w:left="420"/>
      </w:pPr>
      <w:r>
        <w:t xml:space="preserve">1. Ermittlung von Bewerbern für die Besetzung einer Stelle im Verwaltungs- oder Aufsichtsorgan und in der Geschäftsleitung und der Vorbereitung von Wahlvorschlägen für die Wahl von deren Mitgliedern; hierbei hat er darauf zu achten, dass die Kenntnisse, Fähigkeiten und Erfahrungen aller Mitglieder des betreffenden Organs unterschiedlich und ausgewogen sind, und eine Stellenbeschreibung mit einem Bewerberprofil zu entwerfen sowie den mit der Aufgabe verbundenen Zeitaufwand anzugeben;</w:t>
      </w:r>
    </w:p>
    <w:p>
      <w:pPr>
        <w:ind w:left="420"/>
      </w:pPr>
      <w:r>
        <w:t xml:space="preserve">2. Erarbeitung einer Strategie zur Förderung der Vertretung des unterrepräsentierten Geschlechts im Verwaltungs- oder Aufsichtsorgan sowie zur Förderung der Diversität, um eine große Bandbreite von Eigenschaften und Fähigkeiten bei dessen Mitgliedern zu erreichen;</w:t>
      </w:r>
    </w:p>
    <w:p>
      <w:pPr>
        <w:ind w:left="420"/>
      </w:pPr>
      <w:r>
        <w:t xml:space="preserve">3. regelmäßigen, mindestens jährlichen Bewertung der Struktur, Größe, Zusammensetzung und Leistung der Geschäftsleitung und des Verwaltungs- oder Aufsichtsorgans und der Erarbeitung von Empfehlungen an das Verwaltungs- oder Aufsichtsorgan zu Verbesserungen;</w:t>
      </w:r>
    </w:p>
    <w:p>
      <w:pPr>
        <w:ind w:left="420"/>
      </w:pPr>
      <w:r>
        <w:t xml:space="preserve">4. regelmäßigen, mindestens jährlichen Bewertung der Kenntnisse, Fähigkeiten und Erfahrung sowohl der einzelnen Geschäftsleiter und der einzelnen Mitglieder des Verwaltungs- oder Aufsichtsorgans als auch des jeweiligen Organs in seiner Gesamtheit und</w:t>
      </w:r>
    </w:p>
    <w:p>
      <w:pPr>
        <w:ind w:left="420"/>
      </w:pPr>
      <w:r>
        <w:t xml:space="preserve">5. Überprüfung der Grundsätze des Verwaltungs- oder Aufsichtsorgans für die Auswahl und Bestellung der Geschäftsleiter und der Abgabe diesbezüglicher Empfehlungen an das Verwaltungs- oder Aufsichtsorgan.</w:t>
      </w:r>
    </w:p>
    <w:p>
      <w:r>
        <w:t xml:space="preserve">Der Nominierungsausschuss hat bei der Wahrnehmung seiner Aufgaben insbesondere darauf zu achten, dass die Entscheidungsfindung innerhalb der Geschäftsleitung oder des Verwaltungs- oder Aufsichtsorgans durch einzelne Personen oder Gruppen nicht in einer Weise beeinflusst wird, die dem Börsenbetreiber insgesamt schadet. Er kann bei der Wahrnehmung seiner Aufgaben auf alle aus seiner Sicht erforderlichen Mittel zurückgreifen und auch externe Berater hinzuziehen. Zu diesem Zweck soll er vom Unternehmen angemessene Finanzmittel erhalten.</w:t>
      </w:r>
    </w:p>
    <w:p>
      <w:r>
        <w:rPr>
          <w:color w:val="555555"/>
          <w:sz w:val="17"/>
        </w:rPr>
        <w:t xml:space="preserve">Zitiervorschlag: § 4b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