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BörsG 2007 — Geschäftsleitung des Börsenträgers</w:t>
      </w:r>
    </w:p>
    <w:p>
      <w:r>
        <w:rPr>
          <w:color w:val="555555"/>
          <w:sz w:val="18"/>
        </w:rPr>
        <w:t xml:space="preserve">Börsengesetz</w:t>
      </w:r>
    </w:p>
    <w:p>
      <w:r>
        <w:rPr>
          <w:color w:val="555555"/>
          <w:sz w:val="18"/>
        </w:rPr>
        <w:t xml:space="preserve">Stand: 10.06.2019 (konsolidierte Textfassung, kein amtliches Inkrafttretensdatum)</w:t>
      </w:r>
    </w:p>
    <w:p>
      <w:r>
        <w:t xml:space="preserve">(1) Die Geschäftsleiter des Börsenträgers müssen fachlich geeignet und zuverlässig sein und der Wahrnehmung ihrer Aufgaben ausreichend Zeit widmen.</w:t>
      </w:r>
    </w:p>
    <w:p>
      <w:r>
        <w:t xml:space="preserve">(2) Bei der Zahl der Leitungs- oder Aufsichtsmandate, die ein Geschäftsleiter gleichzeitig innehaben kann, sind der Einzelfall und die Art, der Umfang und die Komplexität der Geschäfte des Börsenträgers zu berücksichtigen. Geschäftsleiter eines Börsenträgers, der auf Grund seiner Größe, seiner internen Organisation und der Art, des Umfangs und der Komplexität seiner Geschäfte von erheblicher Bedeutung ist, kann nicht sein, wer in einem anderen Unternehmen Geschäftsleiter ist oder bereits in mehr als zwei Unternehmen Mitglied des Verwaltungs- oder Aufsichtsorgans ist. Dabei gelten mehrere Mandate als ein Mandat, wenn sie bei Unternehmen wahrgenommen werden,</w:t>
      </w:r>
    </w:p>
    <w:p>
      <w:pPr>
        <w:ind w:left="420"/>
      </w:pPr>
      <w:r>
        <w:t xml:space="preserve">1. die derselben Gruppe im Sinne des Artikels 2 Nummer 11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angehören oder</w:t>
      </w:r>
    </w:p>
    <w:p>
      <w:pPr>
        <w:ind w:left="420"/>
      </w:pPr>
      <w:r>
        <w:t xml:space="preserve">2. an denen der Börsenträger eine bedeutende Beteiligung im Sinne des § 1 Absatz 9 des Kreditwesengesetzes hält.</w:t>
      </w:r>
    </w:p>
    <w:p>
      <w:r>
        <w:t xml:space="preserve">Mandate als Geschäftsleiter einer Börse oder als Mitglied eines Börsenrates und Mandate bei Organisationen und Unternehmen, die nicht überwiegend gewerbliche Ziele verfolgen, insbesondere Unternehmen, die der kommunalen Daseinsvorsorge dienen, werden bei den nach Satz 2 höchstens zulässigen Mandaten nicht berücksichtigt. Die Börsenaufsichtsbehörde kann einem Geschäftsleiter unter Berücksichtigung der Umstände im Einzelfall gestatten, ein zusätzliches Mandat in einem Verwaltungs- oder Aufsichtsorgan innezuhaben, wenn dies den Geschäftsleiter nicht daran hindert, der Wahrnehmung seiner Aufgaben bei dem Börsenträger ausreichend Zeit zu widmen.</w:t>
      </w:r>
    </w:p>
    <w:p>
      <w:r>
        <w:rPr>
          <w:color w:val="555555"/>
          <w:sz w:val="17"/>
        </w:rPr>
        <w:t xml:space="preserve">Zitiervorschlag: § 4a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