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BörsG 2007 — Strafvorschriften</w:t>
      </w:r>
    </w:p>
    <w:p>
      <w:r>
        <w:rPr>
          <w:color w:val="555555"/>
          <w:sz w:val="18"/>
        </w:rPr>
        <w:t xml:space="preserve">Börsengesetz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drei Jahren oder mit Geldstrafe wird bestraft, wer entgegen § 26 Abs. 1 andere zu Börsenspekulationsgeschäften oder zu einer Beteiligung an einem solchen Geschäft verleitet.</w:t>
      </w:r>
    </w:p>
    <w:p>
      <w:r>
        <w:rPr>
          <w:color w:val="555555"/>
          <w:sz w:val="17"/>
        </w:rPr>
        <w:t xml:space="preserve">Zitiervorschlag: § 49 BörsG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https://recht.nulegal.eu/gesetze/B%C3%B6rsG%202007/49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