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BörsG 2007 — Pflichten des Emittenten</w:t>
      </w:r>
    </w:p>
    <w:p>
      <w:r>
        <w:rPr>
          <w:color w:val="555555"/>
          <w:sz w:val="18"/>
        </w:rPr>
        <w:t xml:space="preserve">Börsengesetz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Emittent zugelassener Aktien ist verpflichtet, für später ausgegebene Aktien derselben Gattung die Zulassung zum regulierten Markt zu beantragen.</w:t>
      </w:r>
    </w:p>
    <w:p>
      <w:r>
        <w:t xml:space="preserve">(2) Die Bundesregierung wird ermächtigt, durch Rechtsverordnung mit Zustimmung des Bundesrates Vorschriften darüber zu erlassen, wann und unter welchen Voraussetzungen die Verpflichtung nach Absatz 1 eintritt.</w:t>
      </w:r>
    </w:p>
    <w:p>
      <w:r>
        <w:rPr>
          <w:color w:val="555555"/>
          <w:sz w:val="17"/>
        </w:rPr>
        <w:t xml:space="preserve">Zitiervorschlag: § 40 BörsG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https://recht.nulegal.eu/gesetze/B%C3%B6rsG%202007/40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