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BörsG 2007 — Widerruf der Zulassung bei Wertpapieren</w:t>
      </w:r>
    </w:p>
    <w:p>
      <w:r>
        <w:rPr>
          <w:color w:val="555555"/>
          <w:sz w:val="18"/>
        </w:rPr>
        <w:t xml:space="preserve">Börsengesetz</w:t>
      </w:r>
    </w:p>
    <w:p>
      <w:r>
        <w:rPr>
          <w:color w:val="555555"/>
          <w:sz w:val="18"/>
        </w:rPr>
        <w:t xml:space="preserve">Stand: 14.03.2026 (konsolidierte Textfassung, kein amtliches Inkrafttretensdatum)</w:t>
      </w:r>
    </w:p>
    <w:p>
      <w:r>
        <w:t xml:space="preserve">(1) Die Geschäftsführung kann die Zulassung von Wertpapieren zum Handel im regulierten Markt außer nach den Vorschriften des Verwaltungsverfahrensgesetzes widerrufen, wenn ein ordnungsgemäßer Börsenhandel auf Dauer nicht mehr gewährleistet ist und die Geschäftsführung die Notierung im regulierten Markt eingestellt hat oder der Emittent seine Pflichten aus der Zulassung auch nach einer angemessenen Frist nicht erfüllt.</w:t>
      </w:r>
    </w:p>
    <w:p>
      <w:r>
        <w:t xml:space="preserve">(1a) Börsenaufsichtsbehörde und Bundesanstalt sind von einem Widerruf nach Absatz 1 unverzüglich in Kenntnis zu setzen.</w:t>
      </w:r>
    </w:p>
    <w:p>
      <w:r>
        <w:t xml:space="preserve">(2) Die Geschäftsführung hat die Zulassung im Sinne des Absatzes 1 auch auf Antrag des Emittenten zu widerrufen. Bei Wertpapieren im Sinne des § 2 Absatz 2 des Wertpapiererwerbs- und Übernahmegesetzes ist ein Widerruf nur zulässig, wenn</w:t>
      </w:r>
    </w:p>
    <w:p>
      <w:pPr>
        <w:ind w:left="420"/>
      </w:pPr>
      <w:r>
        <w:t xml:space="preserve">1. bei Antragstellung unter Hinweis auf den Antrag eine Unterlage über ein Angebot zum Erwerb aller Wertpapiere, die Gegenstand des Antrags sind, nach den Vorschriften des Wertpapiererwerbs- und Übernahmegesetzes veröffentlicht wurde,</w:t>
      </w:r>
    </w:p>
    <w:p>
      <w:pPr>
        <w:ind w:left="420"/>
      </w:pPr>
      <w:r>
        <w:t xml:space="preserve">2. die Wertpapiere weiterhin zugelassen sind</w:t>
      </w:r>
    </w:p>
    <w:p>
      <w:pPr>
        <w:ind w:left="780"/>
      </w:pPr>
      <w:r>
        <w:t xml:space="preserve">a) an einer anderen inländischen Börse zum Handel im regulierten Markt oder</w:t>
      </w:r>
    </w:p>
    <w:p>
      <w:pPr>
        <w:ind w:left="780"/>
      </w:pPr>
      <w:r>
        <w:t xml:space="preserve">b) in einem anderen Mitgliedstaat der Europäischen Union oder einem anderen Vertragsstaat des Abkommens über den Europäischen Wirtschaftsraum zum Handel an einem organisierten Markt, sofern für einen Widerruf der Zulassung zum Handel an diesem Markt der Nummer 1 entsprechende Voraussetzungen gelten,</w:t>
      </w:r>
    </w:p>
    <w:p>
      <w:pPr>
        <w:ind w:left="420"/>
      </w:pPr>
      <w:r>
        <w:t xml:space="preserve">3. die Wertpapiere weiterhin zum Handel an einem KMU-Wachstumsmarkt</w:t>
      </w:r>
    </w:p>
    <w:p>
      <w:pPr>
        <w:ind w:left="780"/>
      </w:pPr>
      <w:r>
        <w:t xml:space="preserve">a) im Inland einbezogen sind oder</w:t>
      </w:r>
    </w:p>
    <w:p>
      <w:pPr>
        <w:ind w:left="780"/>
      </w:pPr>
      <w:r>
        <w:t xml:space="preserve">b) in einem anderen Mitgliedstaat der Europäischen Union oder einem anderen Vertragsstaat des Abkommens über den Europäischen Wirtschaftsraum zugelassen sind, sofern für eine Kündigung der Einbeziehung oder einen Widerruf der Zulassung zum Handel an diesem Markt der Nummer 1 entsprechende Voraussetzungen gelten,</w:t>
      </w:r>
    </w:p>
    <w:p>
      <w:pPr>
        <w:ind w:left="420"/>
      </w:pPr>
      <w:r>
        <w:t xml:space="preserve">oder</w:t>
      </w:r>
    </w:p>
    <w:p>
      <w:pPr>
        <w:ind w:left="420"/>
      </w:pPr>
      <w:r>
        <w:t xml:space="preserve">4. über das Vermögen des Emittenten ein Insolvenzverfahren eröffnet wurde.</w:t>
      </w:r>
    </w:p>
    <w:p>
      <w:r>
        <w:t xml:space="preserve">(3) Im Fall des Absatzes 2 Satz 2 Nummer 1 darf das Angebot nicht von Bedingungen abhängig gemacht werden. Auf die Angebotsunterlage ist § 11 des Wertpapiererwerbs- und Übernahmegesetzes mit der Maßgabe entsprechend anzuwenden, dass sie keine Angaben nach Absatz 2 Satz 2 Nummer 5 zu enthalten hat. Auf das Angebot ist § 31 des Wertpapiererwerbs- und Übernahmegesetzes mit der Maßgabe entsprechend anzuwenden, dass die Gegenleistung in einer Geldleistung in Euro bestehen und mindestens dem gewichteten durchschnittlichen inländischen Börsenkurs der Wertpapiere während der letzten sechs Monate vor der Veröffentlichung nach § 10 Absatz 1 Satz 1 oder § 35 Absatz 1 Satz 1 des Wertpapiererwerbs- und Übernahmegesetzes entsprechen muss. Haben besondere Umstände den Börsenkurs dieses Zeitraums derart beeinflusst, dass dieser zur Bestimmung der Gegenleistung unangemessen niedrig ist, so ist der Bieter zur Zahlung einer höheren Gegenleistung verpflichtet, die dem anhand einer Bewertung des Emittenten ermittelten Wert des Unternehmens entspricht. Besondere Umstände liegen insbesondere vor, wenn</w:t>
      </w:r>
    </w:p>
    <w:p>
      <w:pPr>
        <w:ind w:left="420"/>
      </w:pPr>
      <w:r>
        <w:t xml:space="preserve">1. der Emittent entgegen Artikel 17 Absatz 1 der Verordnung (EU) Nr. 596/2014 oder einer entsprechenden Vorschrift des anwendbaren ausländischen Rechts eine Insiderinformation, die ihn unmittelbar betrifft, nicht so bald wie möglich veröffentlicht oder in einer Mitteilung nach Artikel 17 Absatz 1 der Verordnung (EU) Nr. 569/2014 oder einer entsprechenden Vorschrift des anwendbaren ausländischen Rechts eine unwahre Insiderinformation, die ihn unmittelbar betrifft, veröffentlicht hat oder</w:t>
      </w:r>
    </w:p>
    <w:p>
      <w:pPr>
        <w:ind w:left="420"/>
      </w:pPr>
      <w:r>
        <w:t xml:space="preserve">2. der Emittent oder der Bieter in Bezug auf die Wertpapiere, die Gegenstand des Antrags sind, gegen das Verbot der Marktmanipulation nach Artikel 15 der Verordnung (EU) Nr. 596/2014 verstoßen hat</w:t>
      </w:r>
    </w:p>
    <w:p>
      <w:r>
        <w:t xml:space="preserve">und sich die in den Nummern 1 und 2 bezeichneten Verstöße auf den nach Satz 3 errechneten Durchschnittskurs wesentlich ausgewirkt haben. Satz 4 gilt entsprechend, wenn für die Wertpapiere des Emittenten, auf die sich das Angebot bezieht, während der letzten sechs Monate vor der Veröffentlichung nach § 10 Absatz 1 Satz 1 oder § 35 Absatz 1 Satz 1 des Wertpapiererwerbs- und Übernahmegesetzes an weniger als einem Drittel der Börsentage Börsenkurse festgestellt worden sind und mehrere nacheinander festgestellte Börsenkurse um mehr als 5 Prozent voneinander abweichen. Die Höhe der Gegenleistung wird auf Antrag durch das Gericht nach den Vorschriften des Spruchverfahrensgesetzes bestimmt.</w:t>
      </w:r>
    </w:p>
    <w:p>
      <w:r>
        <w:t xml:space="preserve">(4) Auf Emittenten mit Sitz im Ausland finden im Hinblick auf das Angebot nach Absatz 2 die Vorschriften des Wertpapiererwerbs- und Übernahmegesetzes nach Maßgabe des Absatzes 3 entsprechende Anwendung.</w:t>
      </w:r>
    </w:p>
    <w:p>
      <w:r>
        <w:t xml:space="preserve">(5) Die Geschäftsführung hat einen Widerruf nach Absatz 2 unverzüglich im Internet zu veröffentlichen. Der Zeitraum zwischen der Veröffentlichung und der Wirksamkeit des Widerrufs darf zwei Jahre nicht überschreiten. Nähere Bestimmungen über das Widerrufsverfahren sind in der Börsenordnung zu treffen.</w:t>
      </w:r>
    </w:p>
    <w:p>
      <w:r>
        <w:t xml:space="preserve">(6) Im Hinblick auf die Anforderungen des Absatzes 3 bleibt die Rechtmäßigkeit des Widerrufs unberührt.</w:t>
      </w:r>
    </w:p>
    <w:p>
      <w:r>
        <w:rPr>
          <w:color w:val="555555"/>
          <w:sz w:val="17"/>
        </w:rPr>
        <w:t xml:space="preserve">Zitiervorschlag: § 39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