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BörsG 2007 — Einbeziehung von Wertpapieren in den regulierten Markt</w:t>
      </w:r>
    </w:p>
    <w:p>
      <w:r>
        <w:rPr>
          <w:color w:val="555555"/>
          <w:sz w:val="18"/>
        </w:rPr>
        <w:t xml:space="preserve">Börsengesetz</w:t>
      </w:r>
    </w:p>
    <w:p>
      <w:r>
        <w:rPr>
          <w:color w:val="555555"/>
          <w:sz w:val="18"/>
        </w:rPr>
        <w:t xml:space="preserve">Stand: 10.06.2019 (konsolidierte Textfassung, kein amtliches Inkrafttretensdatum)</w:t>
      </w:r>
    </w:p>
    <w:p>
      <w:r>
        <w:t xml:space="preserve">(1) Wertpapiere können auf Antrag eines Handelsteilnehmers oder von Amts wegen durch die Geschäftsführung zum Börsenhandel in den regulierten Markt einbezogen werden, wenn</w:t>
      </w:r>
    </w:p>
    <w:p>
      <w:pPr>
        <w:ind w:left="420"/>
      </w:pPr>
      <w:r>
        <w:t xml:space="preserve">1. die Wertpapiere bereits</w:t>
      </w:r>
    </w:p>
    <w:p>
      <w:pPr>
        <w:ind w:left="780"/>
      </w:pPr>
      <w:r>
        <w:t xml:space="preserve">a) an einer anderen inländischen Börse zum Handel im regulierten Markt,</w:t>
      </w:r>
    </w:p>
    <w:p>
      <w:pPr>
        <w:ind w:left="780"/>
      </w:pPr>
      <w:r>
        <w:t xml:space="preserve">b) in einem anderen Mitgliedstaat der Europäischen Union oder in einem anderen Vertragsstaat des Abkommens über den Europäischen Wirtschaftsraum zum Handel an einem organisierten Markt oder</w:t>
      </w:r>
    </w:p>
    <w:p>
      <w:pPr>
        <w:ind w:left="780"/>
      </w:pPr>
      <w:r>
        <w:t xml:space="preserve">c) an einem Markt in einem Drittstaat, sofern an diesem Markt Zulassungsvoraussetzungen und Melde- und Transparenzpflichten bestehen, die mit denen im regulierten Markt für zugelassene Wertpapiere vergleichbar sind, und der Informationsaustausch zum Zwecke der Überwachung des Handels mit den zuständigen Stellen in dem jeweiligen Staat gewährleistet ist,</w:t>
      </w:r>
    </w:p>
    <w:p>
      <w:pPr>
        <w:ind w:left="420"/>
      </w:pPr>
      <w:r>
        <w:t xml:space="preserve">zugelassen sind und</w:t>
      </w:r>
    </w:p>
    <w:p>
      <w:pPr>
        <w:ind w:left="420"/>
      </w:pPr>
      <w:r>
        <w:t xml:space="preserve">2. keine Umstände bekannt sind, die bei Einbeziehung der Wertpapiere zu einer Übervorteilung des Publikums oder einer Schädigung erheblicher allgemeiner Interessen führen.</w:t>
      </w:r>
    </w:p>
    <w:p>
      <w:r>
        <w:t xml:space="preserve">(2) Die näheren Bestimmungen über die Einbeziehung von Wertpapieren sowie über die von dem Antragsteller nach erfolgter Einbeziehung zu erfüllenden Pflichten sind in der Börsenordnung zu treffen. Die Börsenordnung muss insbesondere Bestimmungen enthalten über die Unterrichtung des Börsenhandels über Tatsachen, die von dem Emittenten an dem ausländischen Markt, an dem die Wertpapiere zugelassen sind, zum Schutz des Publikums und zur Sicherstellung der ordnungsgemäßen Durchführung des Handels zu veröffentlichen sind; § 38 Abs. 1, die §§ 39 und 41 finden keine Anwendung.</w:t>
      </w:r>
    </w:p>
    <w:p>
      <w:r>
        <w:t xml:space="preserve">(3) Die Geschäftsführung unterrichtet den Emittenten, dessen Wertpapiere in den Handel nach Absatz 1 einbezogen wurden, von der Einbeziehung.</w:t>
      </w:r>
    </w:p>
    <w:p>
      <w:r>
        <w:t xml:space="preserve">(4) Für die Aussetzung und die Einstellung der Ermittlung des Börsenpreises gilt § 25 entsprechend. Für den Widerruf der Einbeziehung gilt § 39 Abs. 1 entsprechend.</w:t>
      </w:r>
    </w:p>
    <w:p>
      <w:r>
        <w:rPr>
          <w:color w:val="555555"/>
          <w:sz w:val="17"/>
        </w:rPr>
        <w:t xml:space="preserve">Zitiervorschlag: § 33 BörsG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https://recht.nulegal.eu/gesetze/B%C3%B6rsG%202007/33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