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BörsG 2007 — Externe Abwicklungssysteme</w:t>
      </w:r>
    </w:p>
    <w:p>
      <w:r>
        <w:rPr>
          <w:color w:val="555555"/>
          <w:sz w:val="18"/>
        </w:rPr>
        <w:t xml:space="preserve">Börsengesetz</w:t>
      </w:r>
    </w:p>
    <w:p>
      <w:r>
        <w:rPr>
          <w:color w:val="555555"/>
          <w:sz w:val="18"/>
        </w:rPr>
        <w:t xml:space="preserve">Stand: 15.12.2023 (konsolidierte Textfassung, kein amtliches Inkrafttretensdatum)</w:t>
      </w:r>
    </w:p>
    <w:p>
      <w:r>
        <w:t xml:space="preserve">(1) Wegen der Anbindung von externen Abwicklungssystemen an die Systeme der Börse für den Börsenhandel und die Börsengeschäftsabwicklung wird auf Artikel 35 der Verordnung (EU) Nr. 600/2014 verwiesen.</w:t>
      </w:r>
    </w:p>
    <w:p>
      <w:r>
        <w:t xml:space="preserve">(2) Sind nach Absatz 1 mehrere alternative Abwicklungssysteme verfügbar, ist es den Handelsteilnehmern freizustellen, welches der Systeme sie zur Erfüllung der Börsengeschäfte nutzen.</w:t>
      </w:r>
    </w:p>
    <w:p>
      <w:r>
        <w:t xml:space="preserve">(3) Der Börsenträger hat die Börsenaufsichtsbehörde über das Stellen von Anträgen auf Zugang nach Artikel 7 der Verordnung (EU) Nr. 648/2012 sowie den Eingang eines Antrags auf Zugang nach Artikel 8 der Verordnung (EU) Nr. 648/2012 unverzüglich elektronisch zu unterrichten. Die elektronische Unterrichtung hat in einem von der Börsenaufsichtsbehörde bestimmten Datenformat und auf einem von der Börsenaufsichtsbehörde bestimmten Unterrichtungsweg zu erfolgen.</w:t>
      </w:r>
    </w:p>
    <w:p>
      <w:r>
        <w:rPr>
          <w:color w:val="555555"/>
          <w:sz w:val="17"/>
        </w:rPr>
        <w:t xml:space="preserve">Zitiervorschlag: § 21 BörsG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https://recht.nulegal.eu/gesetze/B%C3%B6rsG%202007/21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