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BäderMeistPrV</w:t>
      </w:r>
    </w:p>
    <w:p>
      <w:r>
        <w:rPr>
          <w:color w:val="555555"/>
          <w:sz w:val="18"/>
        </w:rPr>
        <w:t xml:space="preserve">Verordnung über die Prüfung zum anerkannten Abschluß Geprüfter Meister für Bäderbetriebe/Geprüfte Meisterin für Bäderbetriebe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46 Abs. 2 des Berufsbildungsgesetzes vom 14. August 1969 (BGBl. I S. 1112), der zuletzt gemäß Artikel 35 der Sechsten Zuständigkeitsanpassungs-Verordnung vom 21. September 1997 (BGBl. I S. 2390) geändert ist, verordnet das Bundesministerium für Bildung, Wissenschaft, Forschung und Technologie nach Anhörung des Ständigen Ausschusses des Bundesinstituts für Berufsbildung im Einvernehmen mit dem Bundesministerien für Wirtschaft und des Innern:</w:t>
      </w:r>
    </w:p>
    <w:p>
      <w:r>
        <w:rPr>
          <w:color w:val="555555"/>
          <w:sz w:val="17"/>
        </w:rPr>
        <w:t xml:space="preserve">Zitiervorschlag: Eingangsformel BäderMeistPrV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https://recht.nulegal.eu/gesetze/B%C3%A4derMeistPrV/eingangsformel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