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BäderMeistPrV — Bestehen der Prüfung, Gesamtnote</w:t>
      </w:r>
    </w:p>
    <w:p>
      <w:r>
        <w:rPr>
          <w:color w:val="555555"/>
          <w:sz w:val="18"/>
        </w:rPr>
        <w:t xml:space="preserve">Verordnung über die Prüfung zum anerkannten Abschluß Geprüfter Meister für Bäderbetriebe/Geprüfte Meisterin für Bäderbetriebe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den Prüfungsteilen nach § 3 Absatz 1 Nummer 1 bis 3,</w:t>
      </w:r>
    </w:p>
    <w:p>
      <w:pPr>
        <w:ind w:left="420"/>
      </w:pPr>
      <w:r>
        <w:t xml:space="preserve">2. im Prüfungsfach „Management und Führungsaufgaben“,</w:t>
      </w:r>
    </w:p>
    <w:p>
      <w:pPr>
        <w:ind w:left="420"/>
      </w:pPr>
      <w:r>
        <w:t xml:space="preserve">3. im Prüfungsfach „Betriebstechnische Situationsaufgabe“.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Bewertungen für die Prüfungsfächer, in denen auch eine mündliche Prüfung durchgeführt wurde sowie</w:t>
      </w:r>
    </w:p>
    <w:p>
      <w:pPr>
        <w:ind w:left="420"/>
      </w:pPr>
      <w:r>
        <w:t xml:space="preserve">2. die zusammengefassten Bewertungen für die Prüfungsteile nach § 3 Absatz 1 Nummer 1 bis 3.</w:t>
      </w:r>
    </w:p>
    <w:p>
      <w:r>
        <w:t xml:space="preserve">(3) Den Bewertungen der Prüfungsteile nach § 3 Absatz 1 Nummer 1 bis 3 und der Prüfungsfächer ist nach Anlage 1 die jeweilige Note als Dezimalzahl zuzuordnen.</w:t>
      </w:r>
    </w:p>
    <w:p>
      <w:r>
        <w:t xml:space="preserve">(4) Für die Bildung einer Gesamtnote ist als Gesamtpunktzahl das arithmetische Mittel aus den Bewertungen der Leistungen in den einzelnen Prüfungsfächern in den Prüfungsteilen nach § 3 Absatz 1 Nummer 1 bis 3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BäderMeistPrV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https://recht.nulegal.eu/gesetze/B%C3%A4derMeistPrV/9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