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BäckMstrV — Weitere Anforderungen</w:t>
      </w:r>
    </w:p>
    <w:p>
      <w:r>
        <w:rPr>
          <w:color w:val="555555"/>
          <w:sz w:val="18"/>
        </w:rPr>
        <w:t xml:space="preserve">Bäckermeisterverordnung</w:t>
      </w:r>
    </w:p>
    <w:p>
      <w:r>
        <w:rPr>
          <w:color w:val="555555"/>
          <w:sz w:val="18"/>
        </w:rPr>
        <w:t xml:space="preserve">Stand: 02.02.2022 (konsolidierte Textfassung, kein amtliches Inkrafttretensdatum)</w:t>
      </w:r>
    </w:p>
    <w:p>
      <w:r>
        <w:t xml:space="preserve">(1) Die Vorschriften der Meisterprüfungsverfahrensverordnung bleiben unberührt.</w:t>
      </w:r>
    </w:p>
    <w:p>
      <w:r>
        <w:t xml:space="preserve">(2) Die Prüfung in den Teilen III und IV der Meisterprüfung bestimmt sich nach der Allgemeinen Meisterprüfungsverordnung.</w:t>
      </w:r>
    </w:p>
    <w:p>
      <w:r>
        <w:rPr>
          <w:color w:val="555555"/>
          <w:sz w:val="17"/>
        </w:rPr>
        <w:t xml:space="preserve">Zitiervorschlag: § 7 BäckMstrV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https://recht.nulegal.eu/gesetze/B%C3%A4ckMstrV/7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