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BÜG (Bayern) — Inkrafttreten; Übergangsregelung</w:t>
      </w:r>
    </w:p>
    <w:p>
      <w:r>
        <w:rPr>
          <w:color w:val="555555"/>
          <w:sz w:val="18"/>
        </w:rPr>
        <w:t xml:space="preserve">Gesetz über die Übernahme von Staatsbürgschaften und Garantien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Juni 1972 in Kraft. (gegenstandslos)</w:t>
      </w:r>
    </w:p>
    <w:p>
      <w:r>
        <w:t xml:space="preserve">(2) Die aufgrund der durch Absatz 1 aufgehobenen Vorschriften übernommenen Staatsbürgschaften werden entsprechend der Regelung des Art. 1 Abs. 2 auf die in Art. 1 Abs. 1 genannten Gesamthöchstbeträge angerechnet.</w:t>
      </w:r>
    </w:p>
    <w:p>
      <w:r>
        <w:t xml:space="preserve">[Amtl. Anm.:] Betrifft die ursprüngliche Fassung vom 27. Juni 1972 (GVBl. S. 213)</w:t>
      </w:r>
    </w:p>
    <w:p>
      <w:r>
        <w:rPr>
          <w:color w:val="555555"/>
          <w:sz w:val="17"/>
        </w:rPr>
        <w:t xml:space="preserve">Zitiervorschlag: Art 8 BÜG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https://recht.nulegal.eu/gesetze/B%C3%9CG/8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