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BÜG (Bayern) — Übertragung der Ermächtigung zur Bürgschaftsübernahme</w:t>
      </w:r>
    </w:p>
    <w:p>
      <w:r>
        <w:rPr>
          <w:color w:val="555555"/>
          <w:sz w:val="18"/>
        </w:rPr>
        <w:t xml:space="preserve">Gesetz über die Übernahme von Staatsbürgschaften und Garantien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Finanzen und für Heimat kann die Ermächtigung zur Übernahme von Bürgschaften</w:t>
      </w:r>
    </w:p>
    <w:p>
      <w:r>
        <w:t xml:space="preserve">1. auf die LfA Förderbank Bayern in den Fällen des Art. 1 Abs. 1 Nrn. 1 und 2,</w:t>
      </w:r>
    </w:p>
    <w:p>
      <w:r>
        <w:t xml:space="preserve">2. auf die Bayerische Landesbodenkreditanstalt in den Fällen des Art. 1 Abs. 1 Nr. 3,</w:t>
      </w:r>
    </w:p>
    <w:p>
      <w:r>
        <w:t xml:space="preserve">3. auf die Bayerische Landesbodenkreditanstalt oder die örtlich zuständigen Regierungen in den Fällen des Art. 1 Abs. 1 Nr. 4,</w:t>
      </w:r>
    </w:p>
    <w:p>
      <w:r>
        <w:t xml:space="preserve">4. auf die örtlich zuständigen Regierungen oder Kreisverwaltungsbehörden in den Fällen des Art. 1 Abs. 1 Nr. 5</w:t>
      </w:r>
    </w:p>
    <w:p>
      <w:r>
        <w:t xml:space="preserve">zur selbständigen Wahrnehmung übertragen, soweit die Übernahme der Bürgschaft nicht der Zustimmung des Interministeriellen Bürgschaftsausschusses bedarf (Art. 3).</w:t>
      </w:r>
    </w:p>
    <w:p>
      <w:r>
        <w:rPr>
          <w:color w:val="555555"/>
          <w:sz w:val="17"/>
        </w:rPr>
        <w:t xml:space="preserve">Zitiervorschlag: Art 7 BÜG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https://recht.nulegal.eu/gesetze/B%C3%9CG/7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