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BÜG (Bayern) — Garantieverträge</w:t>
      </w:r>
    </w:p>
    <w:p>
      <w:r>
        <w:rPr>
          <w:color w:val="555555"/>
          <w:sz w:val="18"/>
        </w:rPr>
        <w:t xml:space="preserve">Gesetz über die Übernahme von Staatsbürgschaften und Garantien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 und für Heimat wird ermächtigt, in besonderen Fällen anstelle von Bürgschaften in entsprechender Anwendung der Art. 1 bis 4 im Rahmen der dort festgelegten Gesamthöchstbeträge auch Sicherheitsleistungen in Form von Garantieverträgen zu übernehmen.</w:t>
      </w:r>
    </w:p>
    <w:p>
      <w:r>
        <w:rPr>
          <w:color w:val="555555"/>
          <w:sz w:val="17"/>
        </w:rPr>
        <w:t xml:space="preserve">Zitiervorschlag: Art 5 BÜG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https://recht.nulegal.eu/gesetze/B%C3%9CG/5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