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BÜG (Bayern) — Zustimmung der Staatsregierung</w:t>
      </w:r>
    </w:p>
    <w:p>
      <w:r>
        <w:rPr>
          <w:color w:val="555555"/>
          <w:sz w:val="18"/>
        </w:rPr>
        <w:t xml:space="preserve">Gesetz über die Übernahme von Staatsbürgschaften und Garantien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Übernahme einer Bürgschaft von mehr als fünf Millionen Euro im Einzelfall bedarf der Zustimmung der Staatsregierung; dies gilt nicht für Bürgschaften gemäß Art. 1 Abs. 1 Nr. 3.</w:t>
      </w:r>
    </w:p>
    <w:p>
      <w:r>
        <w:t xml:space="preserve">(2) Vor der Entscheidung ist in den Fällen des Art. 1 Abs. 1 Nrn. 1, 2 und 5 der Interministerielle Bürgschaftsausschuß zu hören; Art. 3 Abs. 2 und 4 gelten entsprechend.</w:t>
      </w:r>
    </w:p>
    <w:p>
      <w:r>
        <w:rPr>
          <w:color w:val="555555"/>
          <w:sz w:val="17"/>
        </w:rPr>
        <w:t xml:space="preserve">Zitiervorschlag: Art 4 BÜG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https://recht.nulegal.eu/gesetze/B%C3%9CG/4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