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14b BÄO</w:t>
      </w:r>
    </w:p>
    <w:p>
      <w:r>
        <w:rPr>
          <w:color w:val="555555"/>
          <w:sz w:val="18"/>
        </w:rPr>
        <w:t xml:space="preserve">Bundesärzteordnung</w:t>
      </w:r>
    </w:p>
    <w:p>
      <w:r>
        <w:rPr>
          <w:color w:val="555555"/>
          <w:sz w:val="18"/>
        </w:rPr>
        <w:t xml:space="preserve">Stand: 05.03.2020 (konsolidierte Textfassung, kein amtliches Inkrafttretensdatum)</w:t>
      </w:r>
    </w:p>
    <w:p>
      <w:r>
        <w:t xml:space="preserve">(1) Antragstellern, die die Voraussetzungen des § 3 Absatz 1 Satz 1 Nummer 2, 3 und 5 erfüllen und eine Approbation als Arzt auf Grund der Vorlage eines vor dem nach § 3 Abs. 1 Satz 2, 3 oder 4 für die Anerkennung jeweils maßgebenden Datum ausgestellten ärztlichen Ausbildungsnachweises eines der übrigen Mitgliedstaaten oder eines anderen Vertragsstaates des Abkommens über den Europäischen Wirtschaftsraum oder eines Vertragsstaates, dem Deutschland und die Europäische Gemeinschaft oder Deutschland und die Europäische Union vertraglich einen entsprechenden Rechtsanspruch eingeräumt haben, beantragen, ist die Approbation als Arzt ebenfalls zu erteilen. In den Fällen, in denen die ärztliche Ausbildung des Antragstellers den Mindestanforderungen des Artikels 24 der Richtlinie 2005/36/EG vom 7. September 2005 (ABl. EU Nr. L 255 S. 22, 2007 Nr. L 271 S. 18) nicht genügt, kann die zuständige Behörde die Vorlage einer Bescheinigung des Herkunftsmitgliedstaats des Antragstellers verlangen, aus der sich ergibt, daß der Antragsteller während der letzten fünf Jahre vor der Antragstellung mindestens drei Jahre ununterbrochen tatsächlich und rechtmäßig den ärztlichen Beruf ausgeübt hat. Bei Antragstellern, deren Ausbildungsnachweise</w:t>
      </w:r>
    </w:p>
    <w:p>
      <w:pPr>
        <w:ind w:left="420"/>
      </w:pPr>
      <w:r>
        <w:t xml:space="preserve">1. von der früheren Tschechoslowakei verliehen wurden und die Aufnahme des Berufs des Arztes gestatten oder aus denen hervorgeht, dass die Ausbildung im Falle der Tschechischen Republik und der Slowakei vor dem 1. Januar 1993 aufgenommen wurde, oder</w:t>
      </w:r>
    </w:p>
    <w:p>
      <w:pPr>
        <w:ind w:left="420"/>
      </w:pPr>
      <w:r>
        <w:t xml:space="preserve">2. von der früheren Sowjetunion verliehen wurden und die Aufnahme des Berufs des Arztes gestatten oder aus denen hervorgeht, dass die Ausbildung im Falle Estlands vor dem 20. August 1991, im Falle Lettlands vor dem 21. August 1991, im Falle Litauens vor dem 11. März 1990 aufgenommen wurde, oder</w:t>
      </w:r>
    </w:p>
    <w:p>
      <w:pPr>
        <w:ind w:left="420"/>
      </w:pPr>
      <w:r>
        <w:t xml:space="preserve">3. vom früheren Jugoslawien verliehen wurden und die Aufnahme des Berufs des Arztes gestatten oder aus denen hervorgeht, dass die Ausbildung im Falle Sloweniens vor dem 25. Juni 1991 aufgenommen wurde,</w:t>
      </w:r>
    </w:p>
    <w:p>
      <w:r>
        <w:t xml:space="preserve">ist die Approbation als Arzt zu erteilen, wenn die Behörden dieser Mitgliedstaaten bescheinigen, dass diese Ausbildungsnachweise hinsichtlich der Aufnahme und Ausübung des Berufs des Arztes in ihrem Hoheitsgebiet die gleiche Rechtsgültigkeit haben wie die von ihnen verliehenen Ausbildungsnachweise und eine von den gleichen Behörden ausgestellte Bescheinigung darüber vorgelegt wird, dass die betreffende Person in den fünf Jahren vor Ausstellung der Bescheinigung mindestens drei Jahre ununterbrochen tatsächlich und rechtmäßig den ärztlichen Beruf in ihrem Hoheitsgebiet ausgeübt hat.</w:t>
      </w:r>
    </w:p>
    <w:p>
      <w:r>
        <w:t xml:space="preserve">(2) Antragstellern, für die Absatz 1 gilt und die die dort genannten Voraussetzungen mit Ausnahme der geforderten Berufserfahrung erfüllten, ist die Approbation zu erteilen, wenn die Ausbildung des Antragstellers keine wesentlichen Unterschiede gegenüber der Ausbildung aufweist, die in diesem Gesetz und in der Rechtsverordnung nach § 4 Absatz 1 geregelt ist. § 3 Absatz 2 Satz 3 bis 9 gilt entsprechend.</w:t>
      </w:r>
    </w:p>
    <w:p>
      <w:r>
        <w:rPr>
          <w:color w:val="555555"/>
          <w:sz w:val="17"/>
        </w:rPr>
        <w:t xml:space="preserve">Zitiervorschlag: § 14b BÄO</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https://recht.nulegal.eu/gesetze/B%C3%84O/14b</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