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BÄO</w:t>
      </w:r>
    </w:p>
    <w:p>
      <w:r>
        <w:rPr>
          <w:color w:val="555555"/>
          <w:sz w:val="18"/>
        </w:rPr>
        <w:t xml:space="preserve">Bundesärzteordnung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Bundesregierung wird ermächtigt, durch Rechtsverordnung mit Zustimmung des Bundesrates die Entgelte für ärztliche Tätigkeit in einer Gebührenordnung zu regeln. In dieser Gebührenordnung sind Mindest- und Höchstsätze für die ärztlichen Leistungen festzusetzen. Dabei ist den berechtigten Interessen der Ärzte und der zur Zahlung der Entgelte Verpflichteten Rechnung zu tragen.</w:t>
      </w:r>
    </w:p>
    <w:p>
      <w:r>
        <w:rPr>
          <w:color w:val="555555"/>
          <w:sz w:val="17"/>
        </w:rPr>
        <w:t xml:space="preserve">Zitiervorschlag: § 11 BÄO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https://recht.nulegal.eu/gesetze/B%C3%84O/11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