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AwSV — Überprüfung der Selbsteinstufung von flüssigen oder gasförmigen Gemischen; Änderung der Selbsteinstufung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die Dokumentation nach § 8 Absatz 3 überprüfen. Die zuständige Behörde kann den Betreiber verpflichten, fehlende oder nicht plausible Angaben zu ergänzen oder zu berichtigen. Sie kann die Gemische abweichend von der Selbsteinstufung nach § 8 Absatz 1 einstufen. Die Entscheidung nach Satz 3 ist dem Betreiber schriftlich bekannt zu geben.</w:t>
      </w:r>
    </w:p>
    <w:p>
      <w:r>
        <w:t xml:space="preserve">(2) Das Umweltbundesamt berät die zuständige Behörde auf deren Ersuchen in Fragen, die die Einstufung von flüssigen oder gasförmigen Gemischen betreffen.</w:t>
      </w:r>
    </w:p>
    <w:p>
      <w:r>
        <w:rPr>
          <w:color w:val="555555"/>
          <w:sz w:val="17"/>
        </w:rPr>
        <w:t xml:space="preserve">Zitiervorschlag: § 9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