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AwSV — Selbsteinstufung von flüssigen oder gasförmigen Gemischen; Dokumentation</w:t>
      </w:r>
    </w:p>
    <w:p>
      <w:r>
        <w:rPr>
          <w:color w:val="555555"/>
          <w:sz w:val="18"/>
        </w:rPr>
        <w:t xml:space="preserve">Verordnung über Anlagen zum Umgang mit wassergefährdenden Stoffen</w:t>
      </w:r>
    </w:p>
    <w:p>
      <w:r>
        <w:rPr>
          <w:color w:val="555555"/>
          <w:sz w:val="18"/>
        </w:rPr>
        <w:t xml:space="preserve">Stand: 10.06.2019 (konsolidierte Textfassung, kein amtliches Inkrafttretensdatum)</w:t>
      </w:r>
    </w:p>
    <w:p>
      <w:r>
        <w:t xml:space="preserve">(1) Beabsichtigt ein Betreiber, in einer Anlage mit einem flüssigen oder gasförmigen Gemisch umzugehen, hat er dieses nach Maßgabe der Kriterien von Anlage 1 als nicht wassergefährdend oder in eine Wassergefährdungsklasse nach § 3 Absatz 1 einzustufen.</w:t>
      </w:r>
    </w:p>
    <w:p>
      <w:r>
        <w:t xml:space="preserve">(2) Die Verpflichtung zur Selbsteinstufung nach Absatz 1 gilt nicht für</w:t>
      </w:r>
    </w:p>
    <w:p>
      <w:pPr>
        <w:ind w:left="420"/>
      </w:pPr>
      <w:r>
        <w:t xml:space="preserve">1. Gemische nach § 3 Absatz 2 und 3,</w:t>
      </w:r>
    </w:p>
    <w:p>
      <w:pPr>
        <w:ind w:left="420"/>
      </w:pPr>
      <w:r>
        <w:t xml:space="preserve">2. Gemische, deren Einstufung nach § 66 im Bundesanzeiger veröffentlicht worden ist,</w:t>
      </w:r>
    </w:p>
    <w:p>
      <w:pPr>
        <w:ind w:left="420"/>
      </w:pPr>
      <w:r>
        <w:t xml:space="preserve">3. Gemische, für die bereits eine Dokumentation nach Absatz 3 erstellt worden ist,</w:t>
      </w:r>
    </w:p>
    <w:p>
      <w:pPr>
        <w:ind w:left="420"/>
      </w:pPr>
      <w:r>
        <w:t xml:space="preserve">4. Gemische, die der Betreiber unabhängig von ihren Eigenschaften als stark wassergefährdend betrachtet,</w:t>
      </w:r>
    </w:p>
    <w:p>
      <w:pPr>
        <w:ind w:left="420"/>
      </w:pPr>
      <w:r>
        <w:t xml:space="preserve">5. Gemische, die im intermodalen Verkehr umgeschlagen werden, sowie</w:t>
      </w:r>
    </w:p>
    <w:p>
      <w:pPr>
        <w:ind w:left="420"/>
      </w:pPr>
      <w:r>
        <w:t xml:space="preserve">6. Gemische, die vom Umweltbundesamt nach § 11 eingestuft sind und deren Einstufung im Bundesanzeiger veröffentlicht worden ist.</w:t>
      </w:r>
    </w:p>
    <w:p>
      <w:r>
        <w:t xml:space="preserve">(3) Der Betreiber hat die Selbsteinstufung eines Gemisches nach Absatz 1 nach Maßgabe von Anlage 2 Nummer 2 zu dokumentieren und diese Dokumentation der zuständigen Behörde im Rahmen der Zulassung der Anlage sowie auf Verlangen der Behörde im Rahmen der Überwachung der Anlage vorzulegen. Der Betreiber hat die Dokumentation und die Selbsteinstufung des Gemisches auf dem aktuellen Stand zu halten.</w:t>
      </w:r>
    </w:p>
    <w:p>
      <w:r>
        <w:t xml:space="preserve">(4) Sofern die Dokumentation Betriebsgeheimnisse zur Rezeptur eines Gemisches enthält, kann der Betreiber die Vorlage der Dokumentation nach Absatz 3 verweigern. In diesem Fall hat er der zuständigen Behörde mitzuteilen, wie groß jeweils der Anteil aller Stoffe der jeweiligen Wassergefährdungsklassen ist. Die zuständige Behörde dokumentiert die Nachvollziehbarkeit der Einstufung.</w:t>
      </w:r>
    </w:p>
    <w:p>
      <w:r>
        <w:rPr>
          <w:color w:val="555555"/>
          <w:sz w:val="17"/>
        </w:rPr>
        <w:t xml:space="preserve">Zitiervorschlag: § 8 AwSV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https://recht.nulegal.eu/gesetze/AwSV/8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