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AwSV — Übergangsbestimmung für Fachbetriebe, Sachverständigenorganisationen und bestellte Personen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Betrieb, der am 21. April 2017 berechtigt war, Gütezeichen einer baurechtlich anerkannten Überwachungs- oder Gütegemeinschaft zu führen, oder der vor dem 22. April 2017 einen Überwachungsvertrag mit einer Technischen Überwachungsorganisation abgeschlossen hatte, gilt bis zum 22. April 2019 als Fachbetrieb im Sinne von § 62 Absatz 1, solange die Anforderungen nach § 62 Absatz 2 erfüllt sind und die baurechtlich anerkannte Überwachungs- oder Gütegemeinschaft oder die Technische Überwachungsorganisation die Einhaltung der Anforderungen überwacht. In den Fällen des § 64 Satz 1 ist der Nachweis der Fachbetriebseigenschaft geführt, wenn der Fachbetrieb eine Bestätigung der Überwachungs- oder Gütegemeinschaft, dass er zur Führung des Gütezeichens berechtigt ist, oder eine Bestätigung einer Technischen Überwachungsorganisation, dass der Fachbetrieb von ihr im Rahmen eines Überwachungsvertrages überwacht wird, vorlegt.</w:t>
      </w:r>
    </w:p>
    <w:p>
      <w:r>
        <w:t xml:space="preserve">(2) Anerkennungen von Sachverständigenorganisationen nach landesrechtlichen Vorschriften, die vor dem 1. August 2017 erteilt worden sind, gelten als Anerkennungen nach § 52 Absatz 1 Satz 1 fort. Soweit § 52 Absatz 3 Anforderungen enthält, die über die Anforderungen der bisherigen landesrechtlichen Vorschriften hinausgehen, sind diese Anforderungen ab dem 1. Oktober 2017 zu erfüllen. Wurde die Anerkennung nach Satz 1 befristet erteilt und endet diese Befristung vor dem 1. Februar 2018, so gilt sie bis zum 1. Februar 2018 als Anerkennung im Sinne des § 52 Absatz 1 Satz 1 fort.</w:t>
      </w:r>
    </w:p>
    <w:p>
      <w:r>
        <w:t xml:space="preserve">(3) Die Anforderungen nach § 53 Absatz 1 Satz 1 Nummer 4 in Verbindung mit Absatz 5 sowie nach § 62 Absatz 2 Satz 1 Nummer 2 Buchstabe a bis c gelten nicht für Personen, die vor dem 1. August 2017 von einer Sachverständigenorganisation oder einem Fachbetrieb bestellt worden sind.</w:t>
      </w:r>
    </w:p>
    <w:p>
      <w:r>
        <w:rPr>
          <w:color w:val="555555"/>
          <w:sz w:val="17"/>
        </w:rPr>
        <w:t xml:space="preserve">Zitiervorschlag: § 72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