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AwSV — Prüffristen für bestehende Anlagen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Frist für die erste wiederkehrende Prüfung von Anlagen nach Spalte 3 der Anlage 5 oder der Anlage 6 beginnt bei Anlagen, die am 1. August 2017 bereits errichtet sind, mit dem Abschluss der letzten Prüfung nach landesrechtlichen Vorschriften. Als Prüfung im Sinne von Satz 1 gelten auch Tätigkeiten eines Fachbetriebs, die nach Landesrecht die Prüfung ersetzten.</w:t>
      </w:r>
    </w:p>
    <w:p>
      <w:r>
        <w:t xml:space="preserve">(2) Bestehende Anlagen, die nach Spalte 3 der Anlage 5 oder der Anlage 6 einer wiederkehrenden Prüfung unterliegen, die aber nach den landesrechtlichen Vorschriften vor dem 1. August 2017 nicht wiederkehrend prüfpflichtig waren, sind innerhalb der folgenden Fristen erstmals zu prüfen:</w:t>
      </w:r>
    </w:p>
    <w:p>
      <w:pPr>
        <w:ind w:left="420"/>
      </w:pPr>
      <w:r>
        <w:t xml:space="preserve">1. Anlagen, die vor dem 1. Januar 1971 in Betrieb genommen wurden, bis zum 1. August 2019,</w:t>
      </w:r>
    </w:p>
    <w:p>
      <w:pPr>
        <w:ind w:left="420"/>
      </w:pPr>
      <w:r>
        <w:t xml:space="preserve">2. Anlagen, die im Zeitraum vom 1. Januar 1971 bis zum 31. Dezember 1975 in Betrieb genommen wurden, bis zum 1. August 2021,</w:t>
      </w:r>
    </w:p>
    <w:p>
      <w:pPr>
        <w:ind w:left="420"/>
      </w:pPr>
      <w:r>
        <w:t xml:space="preserve">3. Anlagen, die im Zeitraum vom 1. Januar 1976 bis zum 31. Dezember 1982 in Betrieb genommen wurden, bis zum 1. August 2023,</w:t>
      </w:r>
    </w:p>
    <w:p>
      <w:pPr>
        <w:ind w:left="420"/>
      </w:pPr>
      <w:r>
        <w:t xml:space="preserve">4. Anlagen, die im Zeitraum vom 1. Januar 1983 bis zum 31. Dezember 1993 in Betrieb genommen wurden, bis zum 1. August 2025,</w:t>
      </w:r>
    </w:p>
    <w:p>
      <w:pPr>
        <w:ind w:left="420"/>
      </w:pPr>
      <w:r>
        <w:t xml:space="preserve">5. Anlagen, die nach dem 31. Dezember 1993 in Betrieb genommen wurden, bis zum 1. August 2027.</w:t>
      </w:r>
    </w:p>
    <w:p>
      <w:r>
        <w:rPr>
          <w:color w:val="555555"/>
          <w:sz w:val="17"/>
        </w:rPr>
        <w:t xml:space="preserve">Zitiervorschlag: § 70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