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AwSV — Änderung bestehender Einstufungen; Mitteilungspflicht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Liegen dem Umweltbundesamt Erkenntnisse vor, die die Änderung einer Einstufung nach § 6 Absatz 1 oder Absatz 2 notwendig machen können, nimmt es eine Neubewertung und erforderlichenfalls eine Änderung der Einstufung vor. § 6 Absatz 3 und 4 gilt entsprechend.</w:t>
      </w:r>
    </w:p>
    <w:p>
      <w:r>
        <w:t xml:space="preserve">(2) Liegen dem Betreiber Erkenntnisse vor, die zu einer Änderung der veröffentlichten Einstufung eines Stoffes oder einer Stoffgruppe führen können, muss er diese Erkenntnisse unverzüglich schriftlich dem Umweltbundesamt mitteilen.</w:t>
      </w:r>
    </w:p>
    <w:p>
      <w:r>
        <w:rPr>
          <w:color w:val="555555"/>
          <w:sz w:val="17"/>
        </w:rPr>
        <w:t xml:space="preserve">Zitiervorschlag: § 7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