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AwSV — Bestehende nicht wiederkehrend prüfpflichtige Anlagen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bestehende Anlagen, die keiner wiederkehrenden Prüfpflicht nach § 46 Absatz 2 bis 4 unterliegen, sind die am 31. Juli 2017 geltenden landesrechtlichen Vorschriften weiter anzuwenden, solange und soweit die zuständige Behörde keine Entscheidung nach Satz 2 getroffen hat. Die zuständige Behörde kann für Anlagen im Sinne von Satz 1 festlegen, welche Anforderungen nach dieser Verordnung zu welchem Zeitpunkt erfüllt werden müssen. Unbeschadet der Sätze 1 und 2 gelten § 23 Absatz 1 und die §§ 24, 40 und 43 bis 48 bereits ab dem 1. August 2017.</w:t>
      </w:r>
    </w:p>
    <w:p>
      <w:r>
        <w:t xml:space="preserve">(2) Im Übrigen gilt § 68 Absatz 5, 7 und 8 entsprechend.</w:t>
      </w:r>
    </w:p>
    <w:p>
      <w:r>
        <w:rPr>
          <w:color w:val="555555"/>
          <w:sz w:val="17"/>
        </w:rPr>
        <w:t xml:space="preserve">Zitiervorschlag: § 69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