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AwSV — Pflichten der Fachbetriebe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Fachbetrieb hat sicherzustellen, dass die betrieblich verantwortliche Person mindestens alle zwei Jahre sowie das eingesetzte Personal regelmäßig an Schulungen nach § 61 Absatz 2 oder an anderen gleichwertigen Fortbildungsveranstaltungen teilnimmt.</w:t>
      </w:r>
    </w:p>
    <w:p>
      <w:r>
        <w:t xml:space="preserve">(2) Fachbetriebe sind verpflichtet, der Sachverständigenorganisation oder der Güte- und Überwachungsgemeinschaft, die sie überwacht, Änderungen ihrer Organisationsstruktur unverzüglich mitzuteilen.</w:t>
      </w:r>
    </w:p>
    <w:p>
      <w:r>
        <w:t xml:space="preserve">(3) Ein Betrieb, dem die Zertifizierung als Fachbetrieb entzogen wurde, hat die Zertifizierungsurkunde nach § 62 Absatz 3 der Sachverständigenorganisation oder der Güte- und Überwachungsgemeinschaft unverzüglich zurückzugeben; sie darf nicht weiter verwendet werden.</w:t>
      </w:r>
    </w:p>
    <w:p>
      <w:r>
        <w:rPr>
          <w:color w:val="555555"/>
          <w:sz w:val="17"/>
        </w:rPr>
        <w:t xml:space="preserve">Zitiervorschlag: § 63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