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AwSV — Pflichten von Güte- und Überwachungsgemeinschaften und Fachprüfern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Güte- und Überwachungsgemeinschaft ist verpflichtet,</w:t>
      </w:r>
    </w:p>
    <w:p>
      <w:pPr>
        <w:ind w:left="420"/>
      </w:pPr>
      <w:r>
        <w:t xml:space="preserve">1. die Bestellung eines Fachprüfers aufzuheben, wenn</w:t>
      </w:r>
    </w:p>
    <w:p>
      <w:pPr>
        <w:ind w:left="780"/>
      </w:pPr>
      <w:r>
        <w:t xml:space="preserve">a) die Bestellung durch arglistige Täuschung, Drohung oder Bestechung erwirkt worden ist,</w:t>
      </w:r>
    </w:p>
    <w:p>
      <w:pPr>
        <w:ind w:left="780"/>
      </w:pPr>
      <w:r>
        <w:t xml:space="preserve">b) der Fachprüfer wiederholt grob fahrlässig oder vorsätzlich gegen Pflichten nach Absatz 2 verstoßen hat oder die in § 58 Absatz 1 aufgeführten Anforderungen an Fachprüfer nicht mehr erfüllt oder</w:t>
      </w:r>
    </w:p>
    <w:p>
      <w:pPr>
        <w:ind w:left="780"/>
      </w:pPr>
      <w:r>
        <w:t xml:space="preserve">c) die zuständige Behörde die Aufhebung der Bestellung anordnet,</w:t>
      </w:r>
    </w:p>
    <w:p>
      <w:pPr>
        <w:ind w:left="420"/>
      </w:pPr>
      <w:r>
        <w:t xml:space="preserve">2. die Bestellung der Fachprüfer, ihre Tätigkeitsbereiche, die Änderung ihrer Tätigkeitsbereiche sowie das Erlöschen der Bestellung der Fachprüfer der zuständigen Behörde innerhalb von vier Wochen anzuzeigen,</w:t>
      </w:r>
    </w:p>
    <w:p>
      <w:pPr>
        <w:ind w:left="420"/>
      </w:pPr>
      <w:r>
        <w:t xml:space="preserve">3. jeweils bis zum 31. März eines Jahres für das vergangene Kalenderjahr der zuständigen Behörde zur Erfüllung ihrer aufsichtlichen Aufgaben Änderungen der Organisationsstruktur zu übermitteln,</w:t>
      </w:r>
    </w:p>
    <w:p>
      <w:pPr>
        <w:ind w:left="420"/>
      </w:pPr>
      <w:r>
        <w:t xml:space="preserve">4. der zuständigen Behörde unverzüglich einen Wechsel der vertretungsberechtigten Person mitzuteilen,</w:t>
      </w:r>
    </w:p>
    <w:p>
      <w:pPr>
        <w:ind w:left="420"/>
      </w:pPr>
      <w:r>
        <w:t xml:space="preserve">5. sicherzustellen, dass die technische Leitung, ihre Stellvertretung und die Fachprüfer regelmäßig, mindestens alle zwei Jahre, an Fortbildungsveranstaltungen teilnehmen,</w:t>
      </w:r>
    </w:p>
    <w:p>
      <w:pPr>
        <w:ind w:left="420"/>
      </w:pPr>
      <w:r>
        <w:t xml:space="preserve">6. mindestens viermal im Jahr einen internen Austausch der bei den Zertifizierungen und der Überwachung der Fachbetriebe gewonnenen Erkenntnisse durchzuführen, der auch für Schulungen des Personals der Fachbetriebe genutzt wird,</w:t>
      </w:r>
    </w:p>
    <w:p>
      <w:pPr>
        <w:ind w:left="420"/>
      </w:pPr>
      <w:r>
        <w:t xml:space="preserve">7. an einem jährlichen Erfahrungsaustausch der technischen Leitungen der Güte- und Überwachungsgemeinschaften teilzunehmen,</w:t>
      </w:r>
    </w:p>
    <w:p>
      <w:pPr>
        <w:ind w:left="420"/>
      </w:pPr>
      <w:r>
        <w:t xml:space="preserve">8. Betriebs- und Geschäftsgeheimnisse, die ihr im Rahmen ihrer Tätigkeit bekannt werden, nicht unbefugt zu offenbaren oder zu verwerten und</w:t>
      </w:r>
    </w:p>
    <w:p>
      <w:pPr>
        <w:ind w:left="420"/>
      </w:pPr>
      <w:r>
        <w:t xml:space="preserve">9. der zuständigen Behörde unverzüglich die Auflösung der Güte- und Überwachungsgemeinschaft mitzuteilen.</w:t>
      </w:r>
    </w:p>
    <w:p>
      <w:r>
        <w:t xml:space="preserve">(2) Fachprüfer dürfen Betriebs- und Geschäftsgeheimnisse, die ihnen im Rahmen ihrer Tätigkeit bekannt werden, nicht unbefugt offenbaren oder verwerten.</w:t>
      </w:r>
    </w:p>
    <w:p>
      <w:r>
        <w:rPr>
          <w:color w:val="555555"/>
          <w:sz w:val="17"/>
        </w:rPr>
        <w:t xml:space="preserve">Zitiervorschlag: § 60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