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AwSV — Entscheidung über die Einstufung; Veröffentlichung im Bundesanzeiger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Umweltbundesamt entscheidet auf Grund der Ergebnisse der Kontrollen und Überprüfungen nach § 5 Absatz 1 und 2 über die Einstufung von Stoffen und Stoffgruppen. Bei der Entscheidung kann auch Folgendes berücksichtigt werden:</w:t>
      </w:r>
    </w:p>
    <w:p>
      <w:pPr>
        <w:ind w:left="420"/>
      </w:pPr>
      <w:r>
        <w:t xml:space="preserve">1. vorliegende eigene Erkenntnisse oder Bewertungen, insbesondere zur Toxizität, zur Mobilität eines Stoffes im Boden, zur Grundwassergängigkeit oder zur Anreicherung im Sediment sowie</w:t>
      </w:r>
    </w:p>
    <w:p>
      <w:pPr>
        <w:ind w:left="420"/>
      </w:pPr>
      <w:r>
        <w:t xml:space="preserve">2. vorliegende Stellungnahmen der Kommission zur Bewertung wassergefährdender Stoffe nach § 12 Absatz 1.</w:t>
      </w:r>
    </w:p>
    <w:p>
      <w:r>
        <w:t xml:space="preserve">(2) Das Umweltbundesamt kann nach Maßgabe von Absatz 1 Satz 2 auch unabhängig von einer Selbsteinstufung des Betreibers eine Entscheidung zur Einstufung von Stoffen und Stoffgruppen treffen.</w:t>
      </w:r>
    </w:p>
    <w:p>
      <w:r>
        <w:t xml:space="preserve">(3) Das Umweltbundesamt gibt die Entscheidung nach Absatz 1 Satz 1 dem Betreiber in schriftlicher Form bekannt; Absatz 4 bleibt hiervon unberührt.</w:t>
      </w:r>
    </w:p>
    <w:p>
      <w:r>
        <w:t xml:space="preserve">(4) Das Umweltbundesamt gibt die Entscheidungen nach Absatz 1 Satz 1 und Absatz 2 im Bundesanzeiger öffentlich bekannt. Es stellt zudem im Internet eine Suchfunktion bereit, mit der die bestehenden Einstufungen wassergefährdender Stoffe und Stoffgruppen ermittelt werden können.</w:t>
      </w:r>
    </w:p>
    <w:p>
      <w:r>
        <w:rPr>
          <w:color w:val="555555"/>
          <w:sz w:val="17"/>
        </w:rPr>
        <w:t xml:space="preserve">Zitiervorschlag: § 6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