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AwSV — Anerkennung von Sachverständigenorganisationen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Sachverständigenorganisationen bedürfen der Anerkennung durch die zuständige Behörde. Anerkannte Sachverständigenorganisationen sind berechtigt,</w:t>
      </w:r>
    </w:p>
    <w:p>
      <w:pPr>
        <w:ind w:left="420"/>
      </w:pPr>
      <w:r>
        <w:t xml:space="preserve">1. Sachverständige zu bestellen, die</w:t>
      </w:r>
    </w:p>
    <w:p>
      <w:pPr>
        <w:ind w:left="780"/>
      </w:pPr>
      <w:r>
        <w:t xml:space="preserve">a) Anlagenprüfungen nach § 46 Absatz 2 bis 5 und Anlage 7 Nummer 6.4 und 6.7 Satz 3 durchführen und</w:t>
      </w:r>
    </w:p>
    <w:p>
      <w:pPr>
        <w:ind w:left="780"/>
      </w:pPr>
      <w:r>
        <w:t xml:space="preserve">b) Gutachten nach § 41 Absatz 2 Satz 1 Nummer 2, auch in Verbindung mit Absatz 3, oder nach § 42 Satz 2 erstellen, sowie</w:t>
      </w:r>
    </w:p>
    <w:p>
      <w:pPr>
        <w:ind w:left="420"/>
      </w:pPr>
      <w:r>
        <w:t xml:space="preserve">2. Fachbetriebe nach § 62 Absatz 1 zu zertifizieren und zu überwachen, sofern sich die Anerkennung auch darauf erstreckt.</w:t>
      </w:r>
    </w:p>
    <w:p>
      <w:r>
        <w:t xml:space="preserve">(2) Anerkennungen aus einem anderen Mitgliedstaat der Europäischen Union oder einem anderen Vertragsstaat des Abkommens über den Europäischen Wirtschaftsraum stehen Anerkennungen nach Absatz 1 gleich, wenn sie ihnen gleichwertig sind. Sie sind der zuständigen Behörde vor Aufnahme der Prüf- oder Überwachungstätigkeiten im Original oder in Kopie vorzulegen; eine Beglaubigung der Kopie kann verlangt werden. Die zuständige Behörde kann darüber hinaus verlangen, dass gleichwertige Anerkennungen nach Satz 1 in beglaubigter deutscher Übersetzung vorgelegt werden.</w:t>
      </w:r>
    </w:p>
    <w:p>
      <w:r>
        <w:t xml:space="preserve">(3) Eine Organisation kann als Sachverständigenorganisation anerkannt werden, wenn sie</w:t>
      </w:r>
    </w:p>
    <w:p>
      <w:pPr>
        <w:ind w:left="420"/>
      </w:pPr>
      <w:r>
        <w:t xml:space="preserve">1. eine vertretungsberechtigte natürliche Person benennt und deren Vertretungsbefugnis gegenüber der zuständigen Behörde nachweist,</w:t>
      </w:r>
    </w:p>
    <w:p>
      <w:pPr>
        <w:ind w:left="420"/>
      </w:pPr>
      <w:r>
        <w:t xml:space="preserve">2. nachweist, dass eine technische Leitung und eine Stellvertretung bestellt wurden, die die für Sachverständige geltenden Anforderungen nach § 53 erfüllen,</w:t>
      </w:r>
    </w:p>
    <w:p>
      <w:pPr>
        <w:ind w:left="420"/>
      </w:pPr>
      <w:r>
        <w:t xml:space="preserve">3. eine ausreichende Anzahl von Sachverständigen bestellt hat, die die in § 53 genannten Anforderungen erfüllen und an fachliche Weisungen der technischen Leitung gebunden sind,</w:t>
      </w:r>
    </w:p>
    <w:p>
      <w:pPr>
        <w:ind w:left="420"/>
      </w:pPr>
      <w:r>
        <w:t xml:space="preserve">4. Grundsätze aufgestellt hat, die bei den Anlagenprüfungen zu beachten sind,</w:t>
      </w:r>
    </w:p>
    <w:p>
      <w:pPr>
        <w:ind w:left="420"/>
      </w:pPr>
      <w:r>
        <w:t xml:space="preserve">5. ein betriebliches Qualitätssicherungssystem nachweist,</w:t>
      </w:r>
    </w:p>
    <w:p>
      <w:pPr>
        <w:ind w:left="420"/>
      </w:pPr>
      <w:r>
        <w:t xml:space="preserve">6. den Nachweis über das Bestehen einer Haftpflichtversicherung für Boden- und Gewässerschäden für die Tätigkeit ihrer Sachverständigen mit einer Deckungssumme von mindestens 2,5 Millionen Euro pro Schadenfall erbringt und</w:t>
      </w:r>
    </w:p>
    <w:p>
      <w:pPr>
        <w:ind w:left="420"/>
      </w:pPr>
      <w:r>
        <w:t xml:space="preserve">7. erklärt, dass sie die Länder, in denen die Sachverständigen Prüfungen vornehmen, von jeder Haftung für die Tätigkeit ihrer Sachverständigen freistellt.</w:t>
      </w:r>
    </w:p>
    <w:p>
      <w:r>
        <w:t xml:space="preserve">Das Qualitätssicherungssystem nach Satz 1 Nummer 5 hat sicherzustellen, dass geeignete Organisationsstrukturen vorhanden sind, die ordnungsgemäße Anlagenprüfungen nach § 46 gewährleisten. Es muss insbesondere Vorgaben zu Kontrollen der Prüfberichte und der Prüfmittel, zur Durchführung von Einzelgesprächen mit den Sachverständigen sowie zu Kontrollen der Prüftätigkeit der Sachverständigen an Referenzanlagen enthalten. Soll sich die Anerkennung auch auf die Zertifizierung und Überwachung von Fachbetrieben nach § 62 Absatz 1 erstrecken, gilt für die Sachverständigenorganisation zusätzlich zu den in Satz 1 genannten Voraussetzungen § 57 Absatz 3 Satz 1 Nummer 3 und 4 entsprechend. In diesem Fall hat das Qualitätssicherungssystem nach Satz 1 Nummer 5 ungeachtet des Satzes 2 auch sicherzustellen, dass geeignete Organisationsstrukturen vorhanden sind, nach denen die Fachprüfer überwacht werden und die die ordnungsgemäße Überprüfung der Fachbetriebe gewährleisten.</w:t>
      </w:r>
    </w:p>
    <w:p>
      <w:r>
        <w:t xml:space="preserve">(4) Bei der Prüfung des Antrages auf Anerkennung stehen Nachweise einzelner Voraussetzungen aus einem anderen Mitgliedstaat der Europäischen Union oder einem anderen Vertragsstaat des Abkommens über den Europäischen Wirtschaftsraum inländischen Nachweisen gleich, wenn aus ihnen hervorgeht, dass die Organisation die betreffenden Anforderungen nach Absatz 3 oder die auf Grund ihrer Zielsetzung im Wesentlichen vergleichbaren Anforderungen des Ausstellungsstaats erfüllt. Absatz 2 Satz 2 und 3 gilt entsprechend.</w:t>
      </w:r>
    </w:p>
    <w:p>
      <w:r>
        <w:t xml:space="preserve">(5) Die Anerkennung kann mit einem Vorbehalt des Widerrufs, einer Befristung, mit Bedingungen, Auflagen und dem Vorbehalt von Auflagen versehen werden. Die Anerkennung gilt im gesamten Bundesgebiet.</w:t>
      </w:r>
    </w:p>
    <w:p>
      <w:r>
        <w:t xml:space="preserve">(6) Über einen Antrag auf Anerkennung ist innerhalb einer Frist von vier Monaten zu entscheiden; § 42a Absatz 2 Satz 2 bis 4 des Verwaltungsverfahrensgesetzes ist anzuwenden. Das Anerkennungsverfahren kann über eine einheitliche Stelle abgewickelt werden.</w:t>
      </w:r>
    </w:p>
    <w:p>
      <w:r>
        <w:t xml:space="preserve">(7) Als Sachverständigenorganisation können auch Gruppen anerkannt werden, die in selbständigen organisatorischen Einheiten eines Unternehmens zusammengefasst und hinsichtlich ihrer Prüftätigkeit nicht weisungsgebunden sind. Absatz 3 bleibt unberührt.</w:t>
      </w:r>
    </w:p>
    <w:p>
      <w:r>
        <w:rPr>
          <w:color w:val="555555"/>
          <w:sz w:val="17"/>
        </w:rPr>
        <w:t xml:space="preserve">Zitiervorschlag: § 52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