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AwSV — Anforderungen an Anlagen in Schutzgebieten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Fassungsbereich und in der engeren Zone von Schutzgebieten dürfen keine Anlagen errichtet und betrieben werden.</w:t>
      </w:r>
    </w:p>
    <w:p>
      <w:r>
        <w:t xml:space="preserve">(2) In der weiteren Zone von Schutzgebieten dürfen folgende Anlagen nicht errichtet und folgende bestehende Anlagen nicht erweitert werden:</w:t>
      </w:r>
    </w:p>
    <w:p>
      <w:pPr>
        <w:ind w:left="420"/>
      </w:pPr>
      <w:r>
        <w:t xml:space="preserve">1. Anlagen der Gefährdungsstufe D,</w:t>
      </w:r>
    </w:p>
    <w:p>
      <w:pPr>
        <w:ind w:left="420"/>
      </w:pPr>
      <w:r>
        <w:t xml:space="preserve">2. Biogasanlagen mit einem maßgebenden Volumen von insgesamt über 3 000 Kubikmetern,</w:t>
      </w:r>
    </w:p>
    <w:p>
      <w:pPr>
        <w:ind w:left="420"/>
      </w:pPr>
      <w:r>
        <w:t xml:space="preserve">3. unterirdische Anlagen der Gefährdungsstufe C sowie</w:t>
      </w:r>
    </w:p>
    <w:p>
      <w:pPr>
        <w:ind w:left="420"/>
      </w:pPr>
      <w:r>
        <w:t xml:space="preserve">4. Anlagen mit Erdwärmesonden.</w:t>
      </w:r>
    </w:p>
    <w:p>
      <w:r>
        <w:t xml:space="preserve">Anlagen in der weiteren Zone von Schutzgebieten dürfen nicht so geändert werden, dass sie durch diese Änderung zu Anlagen nach Satz 1 werden. Satz 1 Nummer 2 gilt nicht, soweit die Überschreitung des Volumens zur Erfüllung der Anforderungen gemäß § 12 der Düngeverordnung an die Kapazität des Gärrestelagers erforderlich ist oder in den Biogasanlagen ausschließlich mit den tierischen Ausscheidungen aus einer eigenen in der weiteren Schutzzone bestehenden Tierhaltung umgegangen wird.</w:t>
      </w:r>
    </w:p>
    <w:p>
      <w:r>
        <w:t xml:space="preserve">(3) Unbeschadet des Absatzes 2 dürfen in der weiteren Zone von Schutzgebieten nur Lageranlagen und Anlagen zum Herstellen, Behandeln und Verwenden wassergefährdender Stoffe errichtet und betrieben werden, die</w:t>
      </w:r>
    </w:p>
    <w:p>
      <w:pPr>
        <w:ind w:left="420"/>
      </w:pPr>
      <w:r>
        <w:t xml:space="preserve">1. mit einer Rückhalteeinrichtung ausgerüstet sind, die abweichend von § 18 Absatz 3 das gesamte in der Anlage vorhandene Volumen wassergefährdender Stoffe aufnehmen kann, oder</w:t>
      </w:r>
    </w:p>
    <w:p>
      <w:pPr>
        <w:ind w:left="420"/>
      </w:pPr>
      <w:r>
        <w:t xml:space="preserve">2. doppelwandig ausgeführt und mit einem Leckanzeigesystem ausgerüstet sind.</w:t>
      </w:r>
    </w:p>
    <w:p>
      <w:r>
        <w:t xml:space="preserve">Abweichend von Satz 1 gelten für die in Abschnitt 3 bestimmten Anlagen nur die dort geregelten Anforderungen; dies gilt nicht für die in §§ 31 und 38 genannten Anlagen sowie die in § 34 genannten Anlagen zum Verwenden wassergefährdender Stoffe im Bereich der Energieversorgung.</w:t>
      </w:r>
    </w:p>
    <w:p>
      <w:r>
        <w:t xml:space="preserve">(4) Die zuständige Behörde kann eine Befreiung von den Anforderungen nach den Absätzen 1 und 2 erteilen, wenn</w:t>
      </w:r>
    </w:p>
    <w:p>
      <w:pPr>
        <w:ind w:left="420"/>
      </w:pPr>
      <w:r>
        <w:t xml:space="preserve">1. das Wohl der Allgemeinheit dies erfordert oder das Verbot zu einer unzumutbaren Härte führen würde und</w:t>
      </w:r>
    </w:p>
    <w:p>
      <w:pPr>
        <w:ind w:left="420"/>
      </w:pPr>
      <w:r>
        <w:t xml:space="preserve">2. der Schutzzweck des Schutzgebietes nicht beeinträchtigt wird.</w:t>
      </w:r>
    </w:p>
    <w:p>
      <w:r>
        <w:t xml:space="preserve">(5) Die Absätze 2 und 3 gelten nicht, soweit landesrechtliche Verordnungen zur Festsetzung von Schutzgebieten weiter gehende Regelungen treffen.</w:t>
      </w:r>
    </w:p>
    <w:p>
      <w:r>
        <w:rPr>
          <w:color w:val="555555"/>
          <w:sz w:val="17"/>
        </w:rPr>
        <w:t xml:space="preserve">Zitiervorschlag: § 49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