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AwSV — Prüfung durch Sachverständige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Prüfungen nach § 46 Absatz 2 bis 5 dürfen nur von Sachverständigen durchgeführt werden.</w:t>
      </w:r>
    </w:p>
    <w:p>
      <w:r>
        <w:t xml:space="preserve">(2) Der Sachverständige hat die Anlage auf Grund des Ergebnisses der Prüfungen nach § 46 in eine der folgenden Klassen einzustufen:</w:t>
      </w:r>
    </w:p>
    <w:p>
      <w:pPr>
        <w:ind w:left="420"/>
      </w:pPr>
      <w:r>
        <w:t xml:space="preserve">1. ohne Mangel,</w:t>
      </w:r>
    </w:p>
    <w:p>
      <w:pPr>
        <w:ind w:left="420"/>
      </w:pPr>
      <w:r>
        <w:t xml:space="preserve">2. mit geringfügigem Mangel,</w:t>
      </w:r>
    </w:p>
    <w:p>
      <w:pPr>
        <w:ind w:left="420"/>
      </w:pPr>
      <w:r>
        <w:t xml:space="preserve">3. mit erheblichem Mangel oder</w:t>
      </w:r>
    </w:p>
    <w:p>
      <w:pPr>
        <w:ind w:left="420"/>
      </w:pPr>
      <w:r>
        <w:t xml:space="preserve">4. mit gefährlichem Mangel.</w:t>
      </w:r>
    </w:p>
    <w:p>
      <w:r>
        <w:t xml:space="preserve">(3) Der Sachverständige hat der zuständigen Behörde über das Ergebnis jeder von ihm durchgeführten Prüfung nach § 46 innerhalb von vier Wochen nach Durchführung der Prüfung einen Prüfbericht vorzulegen. Über einen gefährlichen Mangel hat er die zuständige Behörde unverzüglich zu unterrichten. Der Prüfbericht nach Satz 1 muss Angaben zu Folgendem enthalten:</w:t>
      </w:r>
    </w:p>
    <w:p>
      <w:pPr>
        <w:ind w:left="420"/>
      </w:pPr>
      <w:r>
        <w:t xml:space="preserve">1. zum Betreiber,</w:t>
      </w:r>
    </w:p>
    <w:p>
      <w:pPr>
        <w:ind w:left="420"/>
      </w:pPr>
      <w:r>
        <w:t xml:space="preserve">2. zum Standort,</w:t>
      </w:r>
    </w:p>
    <w:p>
      <w:pPr>
        <w:ind w:left="420"/>
      </w:pPr>
      <w:r>
        <w:t xml:space="preserve">3. zur Anlagenidentifikation,</w:t>
      </w:r>
    </w:p>
    <w:p>
      <w:pPr>
        <w:ind w:left="420"/>
      </w:pPr>
      <w:r>
        <w:t xml:space="preserve">4. zur Anlagenzuordnung,</w:t>
      </w:r>
    </w:p>
    <w:p>
      <w:pPr>
        <w:ind w:left="420"/>
      </w:pPr>
      <w:r>
        <w:t xml:space="preserve">5. zu den wassergefährdenden Stoffen, mit denen in der Anlage umgegangen wird,</w:t>
      </w:r>
    </w:p>
    <w:p>
      <w:pPr>
        <w:ind w:left="420"/>
      </w:pPr>
      <w:r>
        <w:t xml:space="preserve">6. zu behördlichen Zulassungen,</w:t>
      </w:r>
    </w:p>
    <w:p>
      <w:pPr>
        <w:ind w:left="420"/>
      </w:pPr>
      <w:r>
        <w:t xml:space="preserve">7. zum Sachverständigen und zu der Sachverständigenorganisation, die ihn bestellt hat,</w:t>
      </w:r>
    </w:p>
    <w:p>
      <w:pPr>
        <w:ind w:left="420"/>
      </w:pPr>
      <w:r>
        <w:t xml:space="preserve">8. zu Art und Umfang der Prüfung,</w:t>
      </w:r>
    </w:p>
    <w:p>
      <w:pPr>
        <w:ind w:left="420"/>
      </w:pPr>
      <w:r>
        <w:t xml:space="preserve">9. dazu, ob die Prüfung der gesamten Anlage abgeschlossen ist oder welche Anlagenteile noch nicht geprüft wurden,</w:t>
      </w:r>
    </w:p>
    <w:p>
      <w:pPr>
        <w:ind w:left="420"/>
      </w:pPr>
      <w:r>
        <w:t xml:space="preserve">10. zu Art und Umfang der festgestellten Mängel,</w:t>
      </w:r>
    </w:p>
    <w:p>
      <w:pPr>
        <w:ind w:left="420"/>
      </w:pPr>
      <w:r>
        <w:t xml:space="preserve">11. zu Datum und Ergebnis der Prüfung,</w:t>
      </w:r>
    </w:p>
    <w:p>
      <w:pPr>
        <w:ind w:left="420"/>
      </w:pPr>
      <w:r>
        <w:t xml:space="preserve">12. zu erforderlichen Maßnahmen und zu einem Vorschlag für eine angemessene Frist für ihre Umsetzung oder zur Erforderlichkeit der Erarbeitung eines Instandsetzungskonzeptes,</w:t>
      </w:r>
    </w:p>
    <w:p>
      <w:pPr>
        <w:ind w:left="420"/>
      </w:pPr>
      <w:r>
        <w:t xml:space="preserve">13. zum Datum der nächsten Prüfung und</w:t>
      </w:r>
    </w:p>
    <w:p>
      <w:pPr>
        <w:ind w:left="420"/>
      </w:pPr>
      <w:r>
        <w:t xml:space="preserve">14. zu einer erfolgreichen Beseitigung festgestellter Mängel bei Nachprüfungen nach § 46 Absatz 5.</w:t>
      </w:r>
    </w:p>
    <w:p>
      <w:r>
        <w:t xml:space="preserve">Die Angaben nach Satz 3 Nummer 1, 2, 3, 9, 11 und 13 sind auf der ersten Seite des Prüfberichts in optisch deutlich hervorgehobener Form darzustellen.</w:t>
      </w:r>
    </w:p>
    <w:p>
      <w:r>
        <w:t xml:space="preserve">(4) Stuft der Sachverständige eine Heizölverbraucheranlage nach Abschluss ihrer Prüfung in die Klasse „ohne Mangel“ oder „mit geringfügigem Mangel“ nach Absatz 2 ein, hat er auf der Anlage an gut sichtbarer Stelle eine Plakette anzubringen, aus der das Datum der Prüfung und das Datum der nächsten Prüfung ersichtlich sind.</w:t>
      </w:r>
    </w:p>
    <w:p>
      <w:r>
        <w:t xml:space="preserve">(5) Bei der Prüfung einer Heizölverbraucheranlage hat der Sachverständige dem Betreiber das Merkblatt nach Anlage 3 auszuhändigen, sofern an der Anlage ein solches Merkblatt nicht bereits aushängt.</w:t>
      </w:r>
    </w:p>
    <w:p>
      <w:r>
        <w:rPr>
          <w:color w:val="555555"/>
          <w:sz w:val="17"/>
        </w:rPr>
        <w:t xml:space="preserve">Zitiervorschlag: § 47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