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AwSV — Überwachungs- und Prüfpflichten des Betreibers</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Der Betreiber hat die Dichtheit der Anlage und die Funktionsfähigkeit der Sicherheitseinrichtungen regelmäßig zu kontrollieren. Die zuständige Behörde kann im Einzelfall anordnen, dass der Betreiber einen Überwachungsvertrag mit einem Fachbetrieb nach § 62 abschließt, wenn er selbst nicht die erforderliche Sachkunde besitzt und auch nicht über sachkundiges Personal verfügt.</w:t>
      </w:r>
    </w:p>
    <w:p>
      <w:r>
        <w:t xml:space="preserve">(2) Betreiber haben Anlagen außerhalb von Schutzgebieten und außerhalb von festgesetzten oder vorläufig gesicherten Überschwemmungsgebieten nach Maßgabe der in Anlage 5 geregelten Prüfzeitpunkte und -intervalle auf ihren ordnungsgemäßen Zustand prüfen zu lassen.</w:t>
      </w:r>
    </w:p>
    <w:p>
      <w:r>
        <w:t xml:space="preserve">(3) Betreiber haben Anlagen in Schutzgebieten und in festgesetzten oder vorläufig gesicherten Überschwemmungsgebieten nach Maßgabe der in Anlage 6 geregelten Prüfzeitpunkte und -intervalle auf ihren ordnungsgemäßen Zustand prüfen zu lassen.</w:t>
      </w:r>
    </w:p>
    <w:p>
      <w:r>
        <w:t xml:space="preserve">(4) Die zuständige Behörde kann unabhängig von den sich nach den Absätzen 2 und 3 ergebenden Prüfzeitpunkten und -intervallen eine einmalige Prüfung oder wiederkehrende Prüfungen anordnen, insbesondere wenn die Besorgnis einer nachteiligen Veränderung von Gewässereigenschaften besteht.</w:t>
      </w:r>
    </w:p>
    <w:p>
      <w:r>
        <w:t xml:space="preserve">(5) Betreiber haben Anlagen, bei denen nach § 47 Absatz 2 ein erheblicher oder ein gefährlicher Mangel festgestellt worden ist, nach Beseitigung des Mangels nach § 48 Absatz 1 erneut prüfen zu lassen.</w:t>
      </w:r>
    </w:p>
    <w:p>
      <w:r>
        <w:t xml:space="preserve">(6) Die Prüfung nach Absatz 2 oder Absatz 3 entfällt, wenn die Anlage der Forschung, Entwicklung oder Erprobung neuer Einsatzstoffe, Brennstoffe, Erzeugnisse oder Verfahren dient und nicht länger als ein Jahr betrieben wird.</w:t>
      </w:r>
    </w:p>
    <w:p>
      <w:r>
        <w:t xml:space="preserve">(7) Weiter gehende Regelungen, insbesondere in einer Eignungsfeststellung nach § 63 Absatz 1 des Wasserhaushaltsgesetzes, bleiben unberührt.</w:t>
      </w:r>
    </w:p>
    <w:p>
      <w:r>
        <w:rPr>
          <w:color w:val="555555"/>
          <w:sz w:val="17"/>
        </w:rPr>
        <w:t xml:space="preserve">Zitiervorschlag: § 46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