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AwSV — Betriebsanweisung; Merkblatt</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Der Betreiber hat eine Betriebsanweisung vorzuhalten, die einen Überwachungs-, Instandhaltungs- und Notfallplan enthält und Sofortmaßnahmen zur Abwehr nachteiliger Veränderungen der Eigenschaften von Gewässern festlegt. Der Plan ist mit den Stellen abzustimmen, die im Rahmen des Notfallplans und der Sofortmaßnahmen beteiligt sind. Der Betreiber hat die Einhaltung der Betriebsanweisung und deren Aktualisierung sicherzustellen.</w:t>
      </w:r>
    </w:p>
    <w:p>
      <w:r>
        <w:t xml:space="preserve">(2) Das Betriebspersonal der Anlage ist vor Aufnahme der Tätigkeit und dann regelmäßig in angemessenen Zeitabständen, mindestens jedoch einmal jährlich, zu unterweisen, wie es sich laut Betriebsanweisung zu verhalten hat. Die Durchführung der Unterweisung ist vom Betreiber zu dokumentieren.</w:t>
      </w:r>
    </w:p>
    <w:p>
      <w:r>
        <w:t xml:space="preserve">(3) Die Betriebsanweisung muss dem Betriebspersonal der Anlage jederzeit zugänglich sein.</w:t>
      </w:r>
    </w:p>
    <w:p>
      <w:r>
        <w:t xml:space="preserve">(4) Die Absätze 1 bis 3 gelten nicht für</w:t>
      </w:r>
    </w:p>
    <w:p>
      <w:pPr>
        <w:ind w:left="420"/>
      </w:pPr>
      <w:r>
        <w:t xml:space="preserve">1. Anlagen der Gefährdungsstufe A,</w:t>
      </w:r>
    </w:p>
    <w:p>
      <w:pPr>
        <w:ind w:left="420"/>
      </w:pPr>
      <w:r>
        <w:t xml:space="preserve">2. Eigenverbrauchstankstellen,</w:t>
      </w:r>
    </w:p>
    <w:p>
      <w:pPr>
        <w:ind w:left="420"/>
      </w:pPr>
      <w:r>
        <w:t xml:space="preserve">3. Heizölverbraucheranlagen,</w:t>
      </w:r>
    </w:p>
    <w:p>
      <w:pPr>
        <w:ind w:left="420"/>
      </w:pPr>
      <w:r>
        <w:t xml:space="preserve">4. Anlagen zum Umgang mit aufschwimmenden flüssigen Stoffen mit einem Volumen bis zu 100 Kubikmetern und</w:t>
      </w:r>
    </w:p>
    <w:p>
      <w:pPr>
        <w:ind w:left="420"/>
      </w:pPr>
      <w:r>
        <w:t xml:space="preserve">5. Anlagen mit festen Gemischen bis zu 1 000 Tonnen.</w:t>
      </w:r>
    </w:p>
    <w:p>
      <w:r>
        <w:t xml:space="preserve">Stattdessen ist bei Anlagen nach Satz 1 Nummer 3 das Merkblatt zu Betriebs- und Verhaltensvorschriften beim Betrieb von Heizölverbraucheranlagen nach Anlage 3 und bei Anlagen nach Satz 1 Nummer 1, 2, 4 und 5 das Merkblatt zu Betriebs- und Verhaltensvorschriften beim Umgang mit wassergefährdenden Stoffen nach Anlage 4 an gut sichtbarer Stelle in der Nähe der Anlage dauerhaft anzubringen. Auf das Anbringen des Merkblattes nach Anlage 4 kann verzichtet werden, wenn die dort vorgegebenen Informationen auf andere Weise in der Nähe der Anlage gut sichtbar dokumentiert sind. Bei Anlagen zum Verwenden wassergefährdender Stoffe der Gefährdungsstufe A, die im Freien außerhalb von Ortschaften betrieben werden, ist die gut sichtbare Anbringung einer Telefonnummer ausreichend, unter der bei Betriebsstörungen eine Alarmierung erfolgen kann.</w:t>
      </w:r>
    </w:p>
    <w:p>
      <w:r>
        <w:rPr>
          <w:color w:val="555555"/>
          <w:sz w:val="17"/>
        </w:rPr>
        <w:t xml:space="preserve">Zitiervorschlag: § 44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