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AwSV — Ausnahmen vom Erfordernis der Eignungsfeststellung</w:t>
      </w:r>
    </w:p>
    <w:p>
      <w:r>
        <w:rPr>
          <w:color w:val="555555"/>
          <w:sz w:val="18"/>
        </w:rPr>
        <w:t xml:space="preserve">Verordnung über Anlagen zum Umgang mit wassergefährdenden Stoffen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Eignungsfeststellung nach § 63 Absatz 1 des Wasserhaushaltsgesetzes ist über die in § 63 Absatz 2 und 3 des Wasserhaushaltsgesetzes geregelten Fälle hinaus nicht erforderlich für</w:t>
      </w:r>
    </w:p>
    <w:p>
      <w:pPr>
        <w:ind w:left="420"/>
      </w:pPr>
      <w:r>
        <w:t xml:space="preserve">1. Anlagen zum Lagern, Abfüllen oder Umschlagen gasförmiger wassergefährdender Stoffe sowie Anlagen zum Lagern, Abfüllen oder Umschlagen flüssiger oder fester wassergefährdender Stoffe der Gefährdungsstufe A,</w:t>
      </w:r>
    </w:p>
    <w:p>
      <w:pPr>
        <w:ind w:left="420"/>
      </w:pPr>
      <w:r>
        <w:t xml:space="preserve">2. Anlagen zum Lagern, Abfüllen oder Umschlagen von aufschwimmenden flüssigen Stoffen nach § 3 Absatz 2 Satz 1 Nummer 7,</w:t>
      </w:r>
    </w:p>
    <w:p>
      <w:pPr>
        <w:ind w:left="420"/>
      </w:pPr>
      <w:r>
        <w:t xml:space="preserve">3. Anlagen zum Lagern, Abfüllen oder Umschlagen von allgemein wassergefährdenden Stoffen, die keiner Prüfpflicht nach § 46 Absatz 2 oder Absatz 3 unterliegen,</w:t>
      </w:r>
    </w:p>
    <w:p>
      <w:pPr>
        <w:ind w:left="420"/>
      </w:pPr>
      <w:r>
        <w:t xml:space="preserve">4. Heizölverbraucheranlagen und</w:t>
      </w:r>
    </w:p>
    <w:p>
      <w:pPr>
        <w:ind w:left="420"/>
      </w:pPr>
      <w:r>
        <w:t xml:space="preserve">5. Anlagen mit einem Volumen von bis zu 1 Kubikmeter, die doppelwandig sind oder über ein Rückhaltevolumen verfügen, das das gesamte in der Anlage vorhandene Volumen wassergefährdender Stoffe zurückhalten kann.</w:t>
      </w:r>
    </w:p>
    <w:p>
      <w:r>
        <w:t xml:space="preserve">(2) Eine Eignungsfeststellung ist für Anlagen der Gefährdungsstufen B und C sowie für nach § 46 Absatz 2 oder Absatz 3 prüfpflichtige Anlagen mit allgemein wassergefährdenden Stoffen nicht erforderlich, wenn</w:t>
      </w:r>
    </w:p>
    <w:p>
      <w:pPr>
        <w:ind w:left="420"/>
      </w:pPr>
      <w:r>
        <w:t xml:space="preserve">1. für alle Teile einer Anlage einschließlich ihrer technischen Schutzvorkehrungen einer der folgenden Nachweise vorliegt:</w:t>
      </w:r>
    </w:p>
    <w:p>
      <w:pPr>
        <w:ind w:left="780"/>
      </w:pPr>
      <w:r>
        <w:t xml:space="preserve">a) ein CE-Kennzeichen, das zulässige Klassen und Leistungsstufen nach § 63 Absatz 3 Satz 1 Nummer 1 des Wasserhaushaltsgesetzes aufweist,</w:t>
      </w:r>
    </w:p>
    <w:p>
      <w:pPr>
        <w:ind w:left="780"/>
      </w:pPr>
      <w:r>
        <w:t xml:space="preserve">b) Zulassungen oder Nachweise nach § 63 Absatz 3 Satz 1 Nummer 2 und Satz 2 des Wasserhaushaltsgesetzes oder</w:t>
      </w:r>
    </w:p>
    <w:p>
      <w:pPr>
        <w:ind w:left="780"/>
      </w:pPr>
      <w:r>
        <w:t xml:space="preserve">c) bei Behältern und Verpackungen die Zulassungen nach gefahrgutrechtlichen Vorschriften</w:t>
      </w:r>
    </w:p>
    <w:p>
      <w:r>
        <w:t xml:space="preserve">und</w:t>
      </w:r>
    </w:p>
    <w:p>
      <w:pPr>
        <w:ind w:left="420"/>
      </w:pPr>
      <w:r>
        <w:t xml:space="preserve">2. durch das Gutachten eines Sachverständigen bestätigt wird, dass die Anlage insgesamt die Gewässerschutzanforderungen erfüllt.</w:t>
      </w:r>
    </w:p>
    <w:p>
      <w:r>
        <w:t xml:space="preserve">Die Anlage darf wie geplant errichtet und betrieben werden, wenn die zuständige Behörde innerhalb einer Frist von sechs Wochen nach Vorlage der in Satz 1 Nummer 1 genannten Nachweise und des Gutachtens nach Satz 1 Nummer 2 weder die Errichtung oder den Betrieb untersagt noch Anforderungen an die Errichtung oder den Betrieb festgesetzt hat. Anforderungen nach anderen Rechtsbereichen bleiben unberührt.</w:t>
      </w:r>
    </w:p>
    <w:p>
      <w:r>
        <w:t xml:space="preserve">(3) Bei Anlagen der Gefährdungsstufe D kann die zuständige Behörde von einer Eignungsfeststellung absehen, wenn die Anforderungen nach Absatz 2 Satz 1 erfüllt sind.</w:t>
      </w:r>
    </w:p>
    <w:p>
      <w:r>
        <w:rPr>
          <w:color w:val="555555"/>
          <w:sz w:val="17"/>
        </w:rPr>
        <w:t xml:space="preserve">Zitiervorschlag: § 41 AwSV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https://recht.nulegal.eu/gesetze/AwSV/41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