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AwSV — Anzeigepflicht</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Wer eine nach § 46 Absatz 2 oder Absatz 3 prüfpflichtige Anlage errichten oder wesentlich ändern will oder an dieser Anlage Maßnahmen ergreifen will, die zu einer Änderung der Gefährdungsstufe nach § 39 Absatz 1 führen, hat dies der zuständigen Behörde mindestens sechs Wochen im Voraus schriftlich anzuzeigen.</w:t>
      </w:r>
    </w:p>
    <w:p>
      <w:r>
        <w:t xml:space="preserve">(2) Die Anzeige nach Absatz 1 muss Angaben zum Betreiber, zum Standort und zur Abgrenzung der Anlage, zu den wassergefährdenden Stoffen, mit denen in der Anlage umgegangen wird, zu bauaufsichtlichen Verwendbarkeitsnachweisen sowie zu den technischen und organisatorischen Maßnahmen, die für die Sicherheit der Anlage bedeutsam sind, enthalten.</w:t>
      </w:r>
    </w:p>
    <w:p>
      <w:r>
        <w:t xml:space="preserve">(3) Nicht anzeigepflichtig nach Absatz 1 ist das Errichten von</w:t>
      </w:r>
    </w:p>
    <w:p>
      <w:pPr>
        <w:ind w:left="420"/>
      </w:pPr>
      <w:r>
        <w:t xml:space="preserve">1. Anlagen zum Lagern, Abfüllen oder Umschlagen wassergefährdender Stoffe, für die eine Eignungsfeststellung nach § 63 Absatz 1 des Wasserhaushaltsgesetzes beantragt wird, und</w:t>
      </w:r>
    </w:p>
    <w:p>
      <w:pPr>
        <w:ind w:left="420"/>
      </w:pPr>
      <w:r>
        <w:t xml:space="preserve">2. sonstigen Anlagen, die Gegenstand eines Zulassungsverfahrens nach anderen Rechtsvorschriften sind, sofern im Zulassungsverfahren auch die Erfüllung der Anforderungen dieser Verordnung sichergestellt wird.</w:t>
      </w:r>
    </w:p>
    <w:p>
      <w:r>
        <w:t xml:space="preserve">Nicht anzeigepflichtig sind in den Fällen des Satzes 1 Nummer 2 auch zulassungsbedürftige wesentliche Änderungen der Anlage.</w:t>
      </w:r>
    </w:p>
    <w:p>
      <w:r>
        <w:t xml:space="preserve">(4) Nach einem Wechsel des Betreibers einer nach § 46 Absatz 2 oder Absatz 3 prüfpflichtigen Anlage hat der neue Betreiber diesen Wechsel der zuständigen Behörde unverzüglich schriftlich anzuzeigen. Satz 1 gilt nicht für Betreiber von Heizölverbraucheranlagen.</w:t>
      </w:r>
    </w:p>
    <w:p>
      <w:r>
        <w:rPr>
          <w:color w:val="555555"/>
          <w:sz w:val="17"/>
        </w:rPr>
        <w:t xml:space="preserve">Zitiervorschlag: § 40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