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AwSV — Besondere Anforderungen an oberirdische Anlagen zum Umgang mit gasförmigen wassergefährdenden Stoffen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Oberirdische Anlagen zum Umgang mit gasförmigen wassergefährdenden Stoffen bedürfen keiner Rückhaltung.</w:t>
      </w:r>
    </w:p>
    <w:p>
      <w:r>
        <w:t xml:space="preserve">(2) Abweichend von Absatz 1 sind auf der Grundlage einer Gefährdungsabschätzung Maßnahmen zur Schadenerkennung, zur Rückhaltung sowie zur ordnungsgemäßen und schadlosen Verwertung oder Beseitigung der Stoffe zu treffen, wenn</w:t>
      </w:r>
    </w:p>
    <w:p>
      <w:pPr>
        <w:ind w:left="420"/>
      </w:pPr>
      <w:r>
        <w:t xml:space="preserve">1. mit gasförmigen wassergefährdenden Stoffen umgegangen wird, die auf Grund ihrer chemischen oder physikalischen Eigenschaften bei einer Betriebsstörung flüssig austreten können, oder</w:t>
      </w:r>
    </w:p>
    <w:p>
      <w:pPr>
        <w:ind w:left="420"/>
      </w:pPr>
      <w:r>
        <w:t xml:space="preserve">2. bei Schadenbekämpfungsmaßnahmen Stoffe anfallen können, die mit ausgetretenen wassergefährdenden Stoffen verunreinigt sind.</w:t>
      </w:r>
    </w:p>
    <w:p>
      <w:r>
        <w:t xml:space="preserve">(3) Für Anlagen mit einer maßgebenden Masse bis zu 1 Tonne gasförmiger wassergefährdender Stoffe sind auch beim Vorliegen der Voraussetzungen nach Absatz 2 keine Rückhaltemaßnahmen erforderlich, wenn die Behälter den gefahrgutrechtlichen Anforderungen genügen und die Schadenbeseitigung mit einfachen betrieblichen Mitteln möglich ist.</w:t>
      </w:r>
    </w:p>
    <w:p>
      <w:r>
        <w:rPr>
          <w:color w:val="555555"/>
          <w:sz w:val="17"/>
        </w:rPr>
        <w:t xml:space="preserve">Zitiervorschlag: § 38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