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AwSV — Besondere Anforderungen an Anlagen zum Verwenden wassergefährdender Stoffe im Bereich der Energieversorgung und in Einrichtungen des Wasserbaus</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Oberirdische Anlagen zum Verwenden flüssiger wassergefährdender Stoffe der Wassergefährdungsklasse 1 oder Wassergefährdungsklasse 2 als Kühl-, Schmier- oder Isoliermittel oder als Hydraulikflüssigkeit im Bereich der Energieversorgung und in Einrichtungen des Wasserbaus, die über ein Volumen von bis zu 10 Kubikmetern verfügen, bedürfen keiner Rückhaltung, wenn sie die Anforderungen nach den Absätzen 2 und 3 erfüllen.</w:t>
      </w:r>
    </w:p>
    <w:p>
      <w:r>
        <w:t xml:space="preserve">(2) Anlagen und Anlagenteile einschließlich Rohrleitungen, die betriebs- oder bauartbedingt nicht über eine Rückhalteeinrichtung verfügen können, sind durch selbsttätige Störmeldeeinrichtungen in Verbindung mit einer ständig besetzten Betriebsstelle oder Messwarte oder durch regelmäßige Kontrollgänge zu überwachen. Für sie sind Alarm- und Maßnahmepläne aufzustellen, die wirksame Maßnahmen und Vorkehrungen zur Vermeidung von Gewässerschäden beschreiben und die mit den in die Maßnahmen einbezogenen Stellen abgestimmt sind. Die Alarm- und Maßnahmepläne sind der zuständigen Behörde auf Verlangen vorzulegen.</w:t>
      </w:r>
    </w:p>
    <w:p>
      <w:r>
        <w:t xml:space="preserve">(3) Werden Kühler mit Direktkontakt zum Wasser eingesetzt, sind sie als Doppelrohrkühler, Zweikreiskühler oder als diesen Kühlern technisch gleichwertige Kühlsysteme auszuführen. Die Kühlsysteme sind mit automatischen Störmeldeeinrichtungen auszurüsten.</w:t>
      </w:r>
    </w:p>
    <w:p>
      <w:r>
        <w:rPr>
          <w:color w:val="555555"/>
          <w:sz w:val="17"/>
        </w:rPr>
        <w:t xml:space="preserve">Zitiervorschlag: § 34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