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AwSV — Besondere Anforderungen an Anlagen zum Laden und Löschen von Schiffen sowie an Anlagen zur Betankung von Wasserfahrzeugen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Anlagen zum Laden und Löschen von Schiffen mit wassergefährdenden Stoffen sowie Anlagen zur Betankung von Wasserfahrzeugen bedürfen schiffsseitig keiner Rückhaltung.</w:t>
      </w:r>
    </w:p>
    <w:p>
      <w:r>
        <w:t xml:space="preserve">(2) Beim Laden und Löschen unverpackter flüssiger wassergefährdender Stoffe und beim Betanken von Wasserfahrzeugen müssen jedoch folgende besondere Anforderungen erfüllt sein:</w:t>
      </w:r>
    </w:p>
    <w:p>
      <w:pPr>
        <w:ind w:left="420"/>
      </w:pPr>
      <w:r>
        <w:t xml:space="preserve">1. die land- und schiffsseitigen Sicherheitssysteme sind aufeinander abzustimmen,</w:t>
      </w:r>
    </w:p>
    <w:p>
      <w:pPr>
        <w:ind w:left="420"/>
      </w:pPr>
      <w:r>
        <w:t xml:space="preserve">2. beim Laden und Löschen im Druckbetrieb müssen Abreißkupplungen verwendet werden, die beidseitig selbsttätig schließen,</w:t>
      </w:r>
    </w:p>
    <w:p>
      <w:pPr>
        <w:ind w:left="420"/>
      </w:pPr>
      <w:r>
        <w:t xml:space="preserve">3. beim Saugbetrieb muss sichergestellt sein, dass bei einem Schaden an der Saugleitung die angeschlossenen Behälter durch Heberwirkung nicht leerlaufen können,</w:t>
      </w:r>
    </w:p>
    <w:p>
      <w:pPr>
        <w:ind w:left="420"/>
      </w:pPr>
      <w:r>
        <w:t xml:space="preserve">4. soweit sich Rohrleitungen oder Schläuche über Gewässern befinden, ist durch Maßnahmen technischer oder organisatorischer Art sicherzustellen, dass der bestmögliche Schutz der Gewässer vor nachteiligen Veränderungen ihrer Eigenschaften erreicht wird.</w:t>
      </w:r>
    </w:p>
    <w:p>
      <w:r>
        <w:t xml:space="preserve">(3) Schüttgüter sind so zu laden und zu löschen, dass der Eintrag von festen wassergefährdenden Stoffen in oberirdische Gewässer durch geeignete Maßnahmen verhindert wird.</w:t>
      </w:r>
    </w:p>
    <w:p>
      <w:r>
        <w:rPr>
          <w:color w:val="555555"/>
          <w:sz w:val="17"/>
        </w:rPr>
        <w:t xml:space="preserve">Zitiervorschlag: § 30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