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AwSV — Besondere Anforderungen an Umschlaganlagen des intermodalen Verkehrs</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Flächen von Umschlaganlagen des intermodalen Verkehrs sind diejenigen, auf denen wassergefährdende Stoffe in Ladeeinheiten oder Straßenfahrzeugen, die gefahrgutrechtlich gekennzeichnet sind, umgeladen werden. Flächen nach Satz 1 müssen in Beton- oder Asphaltbauweise so befestigt sein, dass das dort anfallende Niederschlagswasser auf der Unterseite nicht austritt und nach Maßgabe von § 19 Absatz 2 Satz 1 ordnungsgemäß als Abwasser beseitigt wird oder ordnungsgemäß als Abfall entsorgt wird.</w:t>
      </w:r>
    </w:p>
    <w:p>
      <w:r>
        <w:t xml:space="preserve">(2) Umschlaganlagen des intermodalen Verkehrs müssen über eine flüssigkeitsundurchlässige Havariefläche oder -einrichtung verfügen, auf der Ladeeinheiten oder Straßenfahrzeuge, aus denen wassergefährdende Stoffe austreten, abgestellt werden können und auf der wassergefährdende Stoffe zurückgehalten werden. Das auf den Havarieflächen anfallende Niederschlagswasser ist nach Maßgabe von § 19 Absatz 2 Satz 1 ordnungsgemäß als Abwasser zu beseitigen oder ordnungsgemäß als Abfall zu entsorgen.</w:t>
      </w:r>
    </w:p>
    <w:p>
      <w:r>
        <w:t xml:space="preserve">(3) § 28 Absatz 2 gilt entsprechend.</w:t>
      </w:r>
    </w:p>
    <w:p>
      <w:r>
        <w:rPr>
          <w:color w:val="555555"/>
          <w:sz w:val="17"/>
        </w:rPr>
        <w:t xml:space="preserve">Zitiervorschlag: § 29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