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AwSV — Besondere Anforderungen an Umschlagflächen für wassergefährdende Stoffe</w:t>
      </w:r>
    </w:p>
    <w:p>
      <w:r>
        <w:rPr>
          <w:color w:val="555555"/>
          <w:sz w:val="18"/>
        </w:rPr>
        <w:t xml:space="preserve">Verordnung über Anlagen zum Umgang mit wassergefährdenden Stoffen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Umschlagflächen von Umschlaganlagen für flüssige wassergefährdende Stoffe müssen flüssigkeitsundurchlässig sein. Das dort anfallende Niederschlagswasser ist ordnungsgemäß als Abfall zu entsorgen oder nach Maßgabe von § 19 Absatz 2 Satz 1 ordnungsgemäß als Abwasser zu beseitigen. Für Umschlagflächen von Umschlaganlagen für feste wassergefährdende Stoffe gilt § 26 Absatz 1 entsprechend.</w:t>
      </w:r>
    </w:p>
    <w:p>
      <w:r>
        <w:t xml:space="preserve">(2) An Verkehrsflächen, die dem Rangieren von Transportmitteln mit Transportbehältern und Verpackungen mit wassergefährdenden Stoffen dienen, werden über die betrieblichen Anforderungen hinaus keine Anforderungen gestellt.</w:t>
      </w:r>
    </w:p>
    <w:p>
      <w:r>
        <w:rPr>
          <w:color w:val="555555"/>
          <w:sz w:val="17"/>
        </w:rPr>
        <w:t xml:space="preserve">Zitiervorschlag: § 28 AwSV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https://recht.nulegal.eu/gesetze/AwSV/28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