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AwSV — Anforderungen an das Befüllen und Entleeren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Wer eine Anlage befüllt oder entleert, hat diesen Vorgang zu überwachen und sich vor Beginn der Arbeiten von dem ordnungsgemäßen Zustand der dafür erforderlichen Sicherheitseinrichtungen zu überzeugen. Die zulässigen Belastungsgrenzen der Anlage und der Sicherheitseinrichtungen sind beim Befüllen oder Entleeren einzuhalten.</w:t>
      </w:r>
    </w:p>
    <w:p>
      <w:r>
        <w:t xml:space="preserve">(2) Behälter in Anlagen zum Umgang mit flüssigen wassergefährdenden Stoffen dürfen nur mit festen Leitungsanschlüssen unter Verwendung einer Überfüllsicherung befüllt werden. Bei Anlagen zum Herstellen, Behandeln oder Verwenden flüssiger wassergefährdender Stoffe sowie bei oberirdischen Behältern jeweils mit einem Rauminhalt von bis zu 1,25 Kubikmetern, die nicht miteinander verbunden sind, sind auch andere technische oder organisatorische Sicherungsmaßnahmen, die zu einem gleichwertigen Sicherheitsniveau führen, zulässig. Bei Anlagen zum Abfüllen nicht ortsfest benutzter Behälter mit einem Volumen von mehr als 1,25 Kubikmetern kann die Überfüllsicherung durch eine volumen- oder gewichtsabhängige Steuerung ersetzt werden.</w:t>
      </w:r>
    </w:p>
    <w:p>
      <w:r>
        <w:t xml:space="preserve">(3) Behälter in Anlagen zum Lagern von Brennstoffen nach § 2 Absatz 11 Satz 1 Nummer 2, Dieselkraftstoffen, Ottokraftstoffen oder Kraftstoffen, die aus Biomasse hergestellte Stoffe unabhängig von ihrem Anteil enthalten, dürfen aus Straßentankwagen, Aufsetztanks und ortsbeweglichen Tanks nur unter Verwendung einer selbsttätig schließenden Abfüllsicherung befüllt werden. Heizölverbraucheranlagen mit einem Volumen von bis zu 1,25 Kubikmetern dürfen abweichend von Satz 1 auch unter Verwendung selbsttätig schließender Zapfventile befüllt werden.</w:t>
      </w:r>
    </w:p>
    <w:p>
      <w:r>
        <w:rPr>
          <w:color w:val="555555"/>
          <w:sz w:val="17"/>
        </w:rPr>
        <w:t xml:space="preserve">Zitiervorschlag: § 23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