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AwSV — Anforderungen bei der Nutzung von Abwasseranlagen als Auffangvorrichtung</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Wassergefährdende Stoffe, deren Austreten aus einer Anlage im bestimmungsgemäßen Betrieb unvermeidbar ist und die aus betriebstechnischen Gründen nicht schnell und zuverlässig erkannt, zurückgehalten und ordnungsgemäß entsorgt werden können, dürfen in die betriebliche Kanalisation eingeleitet werden, wenn</w:t>
      </w:r>
    </w:p>
    <w:p>
      <w:pPr>
        <w:ind w:left="420"/>
      </w:pPr>
      <w:r>
        <w:t xml:space="preserve">1. es sich um unerhebliche Mengen handelt,</w:t>
      </w:r>
    </w:p>
    <w:p>
      <w:pPr>
        <w:ind w:left="420"/>
      </w:pPr>
      <w:r>
        <w:t xml:space="preserve">2. die betriebliche Abwasserbehandlungsanlage dafür geeignet ist und</w:t>
      </w:r>
    </w:p>
    <w:p>
      <w:pPr>
        <w:ind w:left="420"/>
      </w:pPr>
      <w:r>
        <w:t xml:space="preserve">3. die Einleitung den wasserrechtlichen Anforderungen und örtlichen Einleitungsbedingungen entspricht.</w:t>
      </w:r>
    </w:p>
    <w:p>
      <w:r>
        <w:t xml:space="preserve">(2) Können bei Leckagen oder Betriebsstörungen austretende wassergefährdende Stoffe oder mit diesen Stoffen verunreinigte andere Stoffe oder Gemische aus betriebstechnischen Gründen nicht in der Anlage selbst zurückgehalten werden, dürfen sie in einer geeigneten Auffangvorrichtung der betrieblichen Kanalisation zurückgehalten werden, wenn sie von dort aus schadlos als Abfall entsorgt oder als Abwasser beseitigt werden können.</w:t>
      </w:r>
    </w:p>
    <w:p>
      <w:r>
        <w:t xml:space="preserve">(3) In den Fällen der Absätze 1 und 2 ist auf Grund einer Bewertung der Anlage, der möglichen Betriebsstörungen, des Anfalls wassergefährdender Stoffe, der Abwasseranlagen und der Empfindlichkeit der Gewässer in der Betriebsanweisung nach § 44 zu regeln, welche technischen und organisatorischen Maßnahmen zu treffen sind, um den Austritt wassergefährdender Stoffe zu erkennen und zu kontrollieren. Außerdem ist in der Betriebsanweisung zu regeln, ob die wassergefährdenden Stoffe getrennt vom Abwasser aufzufangen sind oder in die Abwasseranlagen eingeleitet werden dürfen.</w:t>
      </w:r>
    </w:p>
    <w:p>
      <w:r>
        <w:t xml:space="preserve">(4) Die Teile von Abwasseranlagen, die nach Absatz 2 oder § 19 Absatz 2 Satz 1 auch für die Rückhaltung wassergefährdender Stoffe oder nach Absatz 1 genutzt werden dürfen, müssen flüssigkeitsundurchlässig ausgeführt werden und sind von den Sachverständigen in die Prüfungen nach § 46 einzubeziehen, wenn die zugehörige Anlage prüfpflichtig ist.</w:t>
      </w:r>
    </w:p>
    <w:p>
      <w:r>
        <w:rPr>
          <w:color w:val="555555"/>
          <w:sz w:val="17"/>
        </w:rPr>
        <w:t xml:space="preserve">Zitiervorschlag: § 22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