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AwSV — Besondere Anforderungen an die Rückhaltung bei Rohrleitungen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Oberirdische Rohrleitungen zum Befördern flüssiger wassergefährdender Stoffe sind mit Rückhalteeinrichtungen auszurüsten. Das Rückhaltevolumen muss dem Volumen wassergefährdender Stoffe entsprechen, das bei Betriebsstörungen bis zum Wirksamwerden geeigneter Sicherheitsvorkehrungen freigesetzt werden kann. Die Sätze 1 und 2 gelten nicht, wenn auf der Grundlage einer Gefährdungsabschätzung durch Maßnahmen technischer oder organisatorischer Art sichergestellt ist, dass ein gleichwertiges Sicherheitsniveau erreicht wird. Bei Heizölverbraucheranlagen der Gefährdungsstufen A und B gilt die Gefährdungsabschätzung als geführt, wenn die Heizölverbraucheranlage den geltenden allgemein anerkannten Regeln der Technik im Sinne des § 15 entspricht. Für oberirdische Rohrleitungen zum Befördern von flüssigen wassergefährdenden Stoffen der Wassergefährdungsklasse 1 kann ohne eine Gefährdungsabschätzung von Rückhalteeinrichtungen abgesehen werden, wenn die Standorte der Rohrleitungen auf Grund ihrer hydrogeologischen Eigenschaften keines besonderen Schutzes bedürfen.</w:t>
      </w:r>
    </w:p>
    <w:p>
      <w:r>
        <w:t xml:space="preserve">(2) Bei unterirdischen Rohrleitungen zum Befördern flüssiger oder gasförmiger wassergefährdender Stoffe sind lösbare Verbindungen und Armaturen in flüssigkeitsundurchlässigen Kontrolleinrichtungen anzuordnen, die regelmäßig zu kontrollieren sind. Diese Rohrleitungen müssen</w:t>
      </w:r>
    </w:p>
    <w:p>
      <w:pPr>
        <w:ind w:left="420"/>
      </w:pPr>
      <w:r>
        <w:t xml:space="preserve">1. doppelwandig sein; Undichtheiten der Rohrwände müssen durch ein Leckanzeigesystem selbsttätig angezeigt werden,</w:t>
      </w:r>
    </w:p>
    <w:p>
      <w:pPr>
        <w:ind w:left="420"/>
      </w:pPr>
      <w:r>
        <w:t xml:space="preserve">2. als Saugleitung ausgeführt sein, in der die Flüssigkeitssäule bei Undichtheiten abreißt, in den Lagerbehälter zurückfließt und eine Heberwirkung ausgeschlossen ist, oder</w:t>
      </w:r>
    </w:p>
    <w:p>
      <w:pPr>
        <w:ind w:left="420"/>
      </w:pPr>
      <w:r>
        <w:t xml:space="preserve">3. mit einem Schutzrohr versehen oder in einem Kanal verlegt sein; austretende wassergefährdende Stoffe müssen in einer flüssigkeitsundurchlässigen Kontrolleinrichtung sichtbar werden; derartige Rohrleitungen dürfen keine Flüssigkeiten mit einem Flammpunkt bis zu einer Temperatur von 55 Grad Celsius führen.</w:t>
      </w:r>
    </w:p>
    <w:p>
      <w:r>
        <w:t xml:space="preserve">Kann insbesondere aus Gründen der Betriebssicherheit keine der Anforderungen nach Satz 2 erfüllt werden, ist durch Maßnahmen technischer oder organisatorischer Art sicherzustellen, dass ein gleichwertiges Sicherheitsniveau erreicht wird.</w:t>
      </w:r>
    </w:p>
    <w:p>
      <w:r>
        <w:t xml:space="preserve">(3) Auf Rohrleitungen von Sprinkleranlagen und von Heizungs- und Kühlanlagen, die in Gebäuden mit einem Gemisch aus Wasser und Glycol betrieben werden, sind die Absätze 1 und 2 Satz 2 nicht anzuwenden.</w:t>
      </w:r>
    </w:p>
    <w:p>
      <w:r>
        <w:t xml:space="preserve">(4) Bei Kälteanlagen, in denen Ammoniak als Kältemittel verwendet wird, dürfen in dem Anlagenteil, durch den die Kühlleistung erbracht wird, unterirdisch einwandige Rohrleitungen verwendet werden.</w:t>
      </w:r>
    </w:p>
    <w:p>
      <w:r>
        <w:t xml:space="preserve">(5) Rohrleitungen zum Befördern fester wassergefährdender Stoffe müssen über die betriebstechnischen Erfordernisse hinaus keine Anforderungen bezüglich der Rückhaltung erfüllen.</w:t>
      </w:r>
    </w:p>
    <w:p>
      <w:r>
        <w:rPr>
          <w:color w:val="555555"/>
          <w:sz w:val="17"/>
        </w:rPr>
        <w:t xml:space="preserve">Zitiervorschlag: § 21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