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AwSV — Rückhaltung bei Brandereignissen</w:t>
      </w:r>
    </w:p>
    <w:p>
      <w:r>
        <w:rPr>
          <w:color w:val="555555"/>
          <w:sz w:val="18"/>
        </w:rPr>
        <w:t xml:space="preserve">Verordnung über Anlagen zum Umgang mit wassergefährdenden Stoffen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Anlagen müssen so geplant, errichtet und betrieben werden, dass die bei Brandereignissen austretenden wassergefährdenden Stoffe, Lösch-, Berieselungs- und Kühlwasser sowie die entstehenden Verbrennungsprodukte mit wassergefährdenden Eigenschaften nach den allgemein anerkannten Regeln der Technik zurückgehalten werden. Satz 1 gilt nicht für Anlagen, bei denen eine Brandentstehung nicht zu erwarten ist, und für Heizölverbraucheranlagen.</w:t>
      </w:r>
    </w:p>
    <w:p>
      <w:r>
        <w:rPr>
          <w:color w:val="555555"/>
          <w:sz w:val="17"/>
        </w:rPr>
        <w:t xml:space="preserve">Zitiervorschlag: § 20 AwSV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https://recht.nulegal.eu/gesetze/AwSV/20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